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E84C" w14:textId="0EF37660" w:rsidR="00A02433" w:rsidRPr="001A23AE" w:rsidRDefault="00A02433" w:rsidP="001A23AE">
      <w:pPr>
        <w:jc w:val="center"/>
        <w:rPr>
          <w:rFonts w:cstheme="minorHAnsi"/>
          <w:b/>
          <w:sz w:val="28"/>
          <w:szCs w:val="28"/>
        </w:rPr>
      </w:pPr>
      <w:bookmarkStart w:id="0" w:name="_Toc389221714"/>
      <w:r w:rsidRPr="00F30734">
        <w:rPr>
          <w:rFonts w:cstheme="minorHAnsi"/>
          <w:b/>
          <w:sz w:val="28"/>
          <w:szCs w:val="28"/>
        </w:rPr>
        <w:t xml:space="preserve">Terms of </w:t>
      </w:r>
      <w:r w:rsidR="00133898">
        <w:rPr>
          <w:rFonts w:cstheme="minorHAnsi"/>
          <w:b/>
          <w:sz w:val="28"/>
          <w:szCs w:val="28"/>
        </w:rPr>
        <w:t>R</w:t>
      </w:r>
      <w:r w:rsidRPr="00F30734">
        <w:rPr>
          <w:rFonts w:cstheme="minorHAnsi"/>
          <w:b/>
          <w:sz w:val="28"/>
          <w:szCs w:val="28"/>
        </w:rPr>
        <w:t>eference</w:t>
      </w:r>
    </w:p>
    <w:p w14:paraId="6CD25362" w14:textId="77777777" w:rsidR="007B3911" w:rsidRDefault="00C424EE" w:rsidP="001A23AE">
      <w:pPr>
        <w:jc w:val="center"/>
        <w:rPr>
          <w:rFonts w:cstheme="minorHAnsi"/>
          <w:b/>
          <w:color w:val="000000" w:themeColor="text1"/>
          <w:sz w:val="28"/>
          <w:szCs w:val="28"/>
        </w:rPr>
      </w:pPr>
      <w:proofErr w:type="spellStart"/>
      <w:r>
        <w:rPr>
          <w:rFonts w:cstheme="minorHAnsi"/>
          <w:b/>
          <w:color w:val="000000" w:themeColor="text1"/>
          <w:sz w:val="28"/>
          <w:szCs w:val="28"/>
        </w:rPr>
        <w:t>Programme</w:t>
      </w:r>
      <w:proofErr w:type="spellEnd"/>
      <w:r>
        <w:rPr>
          <w:rFonts w:cstheme="minorHAnsi"/>
          <w:b/>
          <w:color w:val="000000" w:themeColor="text1"/>
          <w:sz w:val="28"/>
          <w:szCs w:val="28"/>
        </w:rPr>
        <w:t xml:space="preserve"> Development Specialist</w:t>
      </w:r>
      <w:r w:rsidR="00E55E59" w:rsidRPr="00E55E59">
        <w:rPr>
          <w:rFonts w:cstheme="minorHAnsi"/>
          <w:b/>
          <w:color w:val="000000" w:themeColor="text1"/>
          <w:sz w:val="28"/>
          <w:szCs w:val="28"/>
        </w:rPr>
        <w:t xml:space="preserve"> </w:t>
      </w:r>
      <w:r w:rsidR="002B1492">
        <w:rPr>
          <w:rFonts w:cstheme="minorHAnsi"/>
          <w:b/>
          <w:color w:val="000000" w:themeColor="text1"/>
          <w:sz w:val="28"/>
          <w:szCs w:val="28"/>
        </w:rPr>
        <w:t xml:space="preserve">for </w:t>
      </w:r>
    </w:p>
    <w:p w14:paraId="7F90D6A1" w14:textId="75522E97" w:rsidR="00A02433" w:rsidRPr="001A23AE" w:rsidRDefault="002B1492" w:rsidP="001A23AE">
      <w:pPr>
        <w:jc w:val="center"/>
        <w:rPr>
          <w:rFonts w:cstheme="minorHAnsi"/>
          <w:b/>
          <w:color w:val="000000" w:themeColor="text1"/>
          <w:sz w:val="28"/>
          <w:szCs w:val="28"/>
        </w:rPr>
      </w:pPr>
      <w:r w:rsidRPr="002B1492">
        <w:rPr>
          <w:rFonts w:cstheme="minorHAnsi"/>
          <w:b/>
          <w:color w:val="000000" w:themeColor="text1"/>
          <w:sz w:val="28"/>
          <w:szCs w:val="28"/>
        </w:rPr>
        <w:t>Climate Change and Health in Eastern Europe, Caucasus and Central Asia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237"/>
      </w:tblGrid>
      <w:tr w:rsidR="00C25EA2" w:rsidRPr="009D420B" w14:paraId="60A492EF" w14:textId="77777777" w:rsidTr="009D420B">
        <w:trPr>
          <w:trHeight w:val="323"/>
        </w:trPr>
        <w:tc>
          <w:tcPr>
            <w:tcW w:w="3114" w:type="dxa"/>
            <w:shd w:val="clear" w:color="auto" w:fill="F2F2F2"/>
          </w:tcPr>
          <w:p w14:paraId="0B7C573B" w14:textId="77777777"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Duty Station:</w:t>
            </w:r>
            <w:r w:rsidRPr="009D420B">
              <w:rPr>
                <w:rFonts w:eastAsia="Times New Roman" w:cstheme="minorHAnsi"/>
                <w:sz w:val="20"/>
                <w:szCs w:val="20"/>
                <w:lang w:val="en-GB"/>
              </w:rPr>
              <w:tab/>
            </w:r>
          </w:p>
        </w:tc>
        <w:tc>
          <w:tcPr>
            <w:tcW w:w="6237" w:type="dxa"/>
          </w:tcPr>
          <w:p w14:paraId="3C2B3532" w14:textId="631FF186" w:rsidR="00C25EA2" w:rsidRPr="009D420B" w:rsidRDefault="00C25EA2" w:rsidP="002D504C">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 xml:space="preserve">Home-based </w:t>
            </w:r>
          </w:p>
        </w:tc>
      </w:tr>
      <w:tr w:rsidR="00C25EA2" w:rsidRPr="009D420B" w14:paraId="6D9AA031" w14:textId="77777777" w:rsidTr="009D420B">
        <w:trPr>
          <w:trHeight w:val="323"/>
        </w:trPr>
        <w:tc>
          <w:tcPr>
            <w:tcW w:w="3114" w:type="dxa"/>
            <w:shd w:val="clear" w:color="auto" w:fill="F2F2F2"/>
          </w:tcPr>
          <w:p w14:paraId="24A5B783" w14:textId="77777777"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Type of Contract:</w:t>
            </w:r>
            <w:r w:rsidRPr="009D420B">
              <w:rPr>
                <w:rFonts w:eastAsia="Times New Roman" w:cstheme="minorHAnsi"/>
                <w:sz w:val="20"/>
                <w:szCs w:val="20"/>
                <w:lang w:val="en-GB"/>
              </w:rPr>
              <w:tab/>
            </w:r>
          </w:p>
        </w:tc>
        <w:tc>
          <w:tcPr>
            <w:tcW w:w="6237" w:type="dxa"/>
          </w:tcPr>
          <w:p w14:paraId="047DEA85" w14:textId="10D65C6E" w:rsidR="00C25EA2" w:rsidRPr="009D420B" w:rsidRDefault="00EA5C95" w:rsidP="00866B2D">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 xml:space="preserve">Individual Contract </w:t>
            </w:r>
          </w:p>
        </w:tc>
      </w:tr>
      <w:tr w:rsidR="00C25EA2" w:rsidRPr="009D420B" w14:paraId="3030BC93" w14:textId="77777777" w:rsidTr="009D420B">
        <w:trPr>
          <w:trHeight w:val="323"/>
        </w:trPr>
        <w:tc>
          <w:tcPr>
            <w:tcW w:w="3114" w:type="dxa"/>
            <w:shd w:val="clear" w:color="auto" w:fill="F2F2F2"/>
          </w:tcPr>
          <w:p w14:paraId="60007AA0" w14:textId="77777777"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Type and Level:</w:t>
            </w:r>
          </w:p>
        </w:tc>
        <w:tc>
          <w:tcPr>
            <w:tcW w:w="6237" w:type="dxa"/>
          </w:tcPr>
          <w:p w14:paraId="0D6D2BA9" w14:textId="77777777"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 xml:space="preserve">International Consultant </w:t>
            </w:r>
          </w:p>
        </w:tc>
      </w:tr>
      <w:tr w:rsidR="00C25EA2" w:rsidRPr="009D420B" w14:paraId="1CF615CE" w14:textId="77777777" w:rsidTr="009D420B">
        <w:trPr>
          <w:trHeight w:val="323"/>
        </w:trPr>
        <w:tc>
          <w:tcPr>
            <w:tcW w:w="3114" w:type="dxa"/>
            <w:shd w:val="clear" w:color="auto" w:fill="F2F2F2"/>
          </w:tcPr>
          <w:p w14:paraId="60BF327F" w14:textId="19C7E7FC" w:rsidR="00C25EA2" w:rsidRPr="009D420B" w:rsidRDefault="00EA5C95"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Language</w:t>
            </w:r>
            <w:r w:rsidR="00C25EA2" w:rsidRPr="009D420B">
              <w:rPr>
                <w:rFonts w:eastAsia="Times New Roman" w:cstheme="minorHAnsi"/>
                <w:sz w:val="20"/>
                <w:szCs w:val="20"/>
                <w:lang w:val="en-GB"/>
              </w:rPr>
              <w:t xml:space="preserve"> Required </w:t>
            </w:r>
          </w:p>
        </w:tc>
        <w:tc>
          <w:tcPr>
            <w:tcW w:w="6237" w:type="dxa"/>
          </w:tcPr>
          <w:p w14:paraId="22010A55" w14:textId="645EE794"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 xml:space="preserve">English </w:t>
            </w:r>
          </w:p>
        </w:tc>
      </w:tr>
      <w:tr w:rsidR="00C25EA2" w:rsidRPr="009D420B" w14:paraId="5AD69E64" w14:textId="77777777" w:rsidTr="009D420B">
        <w:trPr>
          <w:trHeight w:val="323"/>
        </w:trPr>
        <w:tc>
          <w:tcPr>
            <w:tcW w:w="3114" w:type="dxa"/>
            <w:shd w:val="clear" w:color="auto" w:fill="F2F2F2"/>
          </w:tcPr>
          <w:p w14:paraId="58BF267F" w14:textId="18385494" w:rsidR="00C25EA2" w:rsidRPr="009D420B" w:rsidRDefault="00C25EA2" w:rsidP="00C25EA2">
            <w:pPr>
              <w:spacing w:after="0" w:line="240" w:lineRule="auto"/>
              <w:jc w:val="both"/>
              <w:rPr>
                <w:rFonts w:eastAsia="Times New Roman" w:cstheme="minorHAnsi"/>
                <w:sz w:val="20"/>
                <w:szCs w:val="20"/>
                <w:lang w:val="en-GB"/>
              </w:rPr>
            </w:pPr>
            <w:r w:rsidRPr="009D420B">
              <w:rPr>
                <w:rFonts w:eastAsia="Times New Roman" w:cstheme="minorHAnsi"/>
                <w:sz w:val="20"/>
                <w:szCs w:val="20"/>
                <w:lang w:val="en-GB"/>
              </w:rPr>
              <w:t>Starting Date</w:t>
            </w:r>
            <w:r w:rsidR="00B40FB2">
              <w:rPr>
                <w:rFonts w:eastAsia="Times New Roman" w:cstheme="minorHAnsi"/>
                <w:sz w:val="20"/>
                <w:szCs w:val="20"/>
                <w:lang w:val="en-GB"/>
              </w:rPr>
              <w:t>/</w:t>
            </w:r>
            <w:r w:rsidR="00B40FB2" w:rsidRPr="00B40FB2">
              <w:rPr>
                <w:rFonts w:eastAsia="Times New Roman" w:cstheme="minorHAnsi"/>
                <w:sz w:val="20"/>
                <w:szCs w:val="20"/>
                <w:lang w:val="en-GB"/>
              </w:rPr>
              <w:t>Application deadline:</w:t>
            </w:r>
          </w:p>
        </w:tc>
        <w:tc>
          <w:tcPr>
            <w:tcW w:w="6237" w:type="dxa"/>
          </w:tcPr>
          <w:p w14:paraId="3834C0D6" w14:textId="3920B516" w:rsidR="00C25EA2" w:rsidRPr="009D420B" w:rsidRDefault="00DA68FF" w:rsidP="002D504C">
            <w:pPr>
              <w:spacing w:after="0" w:line="240" w:lineRule="auto"/>
              <w:jc w:val="both"/>
              <w:rPr>
                <w:rFonts w:eastAsia="Times New Roman" w:cstheme="minorHAnsi"/>
                <w:sz w:val="20"/>
                <w:szCs w:val="20"/>
                <w:lang w:val="en-GB"/>
              </w:rPr>
            </w:pPr>
            <w:r>
              <w:rPr>
                <w:rFonts w:eastAsia="Times New Roman" w:cstheme="minorHAnsi"/>
                <w:sz w:val="20"/>
                <w:szCs w:val="20"/>
                <w:lang w:val="en-GB"/>
              </w:rPr>
              <w:t>1</w:t>
            </w:r>
            <w:r w:rsidR="007B3911">
              <w:rPr>
                <w:rFonts w:eastAsia="Times New Roman" w:cstheme="minorHAnsi"/>
                <w:sz w:val="20"/>
                <w:szCs w:val="20"/>
                <w:lang w:val="en-GB"/>
              </w:rPr>
              <w:t>5</w:t>
            </w:r>
            <w:r w:rsidR="00C424EE">
              <w:rPr>
                <w:rFonts w:eastAsia="Times New Roman" w:cstheme="minorHAnsi"/>
                <w:sz w:val="20"/>
                <w:szCs w:val="20"/>
                <w:lang w:val="en-GB"/>
              </w:rPr>
              <w:t xml:space="preserve"> </w:t>
            </w:r>
            <w:r w:rsidR="007B3911">
              <w:rPr>
                <w:rFonts w:eastAsia="Times New Roman" w:cstheme="minorHAnsi"/>
                <w:sz w:val="20"/>
                <w:szCs w:val="20"/>
                <w:lang w:val="en-GB"/>
              </w:rPr>
              <w:t>April</w:t>
            </w:r>
            <w:r w:rsidR="00C424EE" w:rsidRPr="009D420B">
              <w:rPr>
                <w:rFonts w:eastAsia="Times New Roman" w:cstheme="minorHAnsi"/>
                <w:sz w:val="20"/>
                <w:szCs w:val="20"/>
                <w:lang w:val="en-GB"/>
              </w:rPr>
              <w:t xml:space="preserve"> </w:t>
            </w:r>
            <w:r w:rsidR="00C25EA2" w:rsidRPr="009D420B">
              <w:rPr>
                <w:rFonts w:eastAsia="Times New Roman" w:cstheme="minorHAnsi"/>
                <w:sz w:val="20"/>
                <w:szCs w:val="20"/>
                <w:lang w:val="en-GB"/>
              </w:rPr>
              <w:t>20</w:t>
            </w:r>
            <w:r w:rsidR="00C424EE">
              <w:rPr>
                <w:rFonts w:eastAsia="Times New Roman" w:cstheme="minorHAnsi"/>
                <w:sz w:val="20"/>
                <w:szCs w:val="20"/>
                <w:lang w:val="en-GB"/>
              </w:rPr>
              <w:t>2</w:t>
            </w:r>
            <w:r w:rsidR="007B3911">
              <w:rPr>
                <w:rFonts w:eastAsia="Times New Roman" w:cstheme="minorHAnsi"/>
                <w:sz w:val="20"/>
                <w:szCs w:val="20"/>
                <w:lang w:val="en-GB"/>
              </w:rPr>
              <w:t>1</w:t>
            </w:r>
          </w:p>
        </w:tc>
      </w:tr>
      <w:tr w:rsidR="00B40FB2" w:rsidRPr="009D420B" w14:paraId="094AFEEF" w14:textId="77777777" w:rsidTr="009D420B">
        <w:trPr>
          <w:trHeight w:val="323"/>
        </w:trPr>
        <w:tc>
          <w:tcPr>
            <w:tcW w:w="3114" w:type="dxa"/>
            <w:shd w:val="clear" w:color="auto" w:fill="F2F2F2"/>
          </w:tcPr>
          <w:p w14:paraId="5F44E18D" w14:textId="3F419ED2" w:rsidR="00B40FB2" w:rsidRPr="009D420B" w:rsidRDefault="00B40FB2" w:rsidP="00C25EA2">
            <w:pPr>
              <w:spacing w:after="0" w:line="240" w:lineRule="auto"/>
              <w:jc w:val="both"/>
              <w:rPr>
                <w:rFonts w:eastAsia="Times New Roman" w:cstheme="minorHAnsi"/>
                <w:sz w:val="20"/>
                <w:szCs w:val="20"/>
                <w:lang w:val="en-GB"/>
              </w:rPr>
            </w:pPr>
            <w:r w:rsidRPr="00B40FB2">
              <w:rPr>
                <w:rFonts w:eastAsia="Times New Roman" w:cstheme="minorHAnsi"/>
                <w:sz w:val="20"/>
                <w:szCs w:val="20"/>
                <w:lang w:val="en-GB"/>
              </w:rPr>
              <w:t>Payment arrangements:</w:t>
            </w:r>
          </w:p>
        </w:tc>
        <w:tc>
          <w:tcPr>
            <w:tcW w:w="6237" w:type="dxa"/>
          </w:tcPr>
          <w:p w14:paraId="0D0BE0DB" w14:textId="77777777" w:rsidR="00B40FB2" w:rsidRPr="00DA68FF" w:rsidRDefault="00B40FB2" w:rsidP="002D504C">
            <w:pPr>
              <w:spacing w:after="0" w:line="240" w:lineRule="auto"/>
              <w:jc w:val="both"/>
              <w:rPr>
                <w:rFonts w:eastAsia="Times New Roman" w:cstheme="minorHAnsi"/>
                <w:sz w:val="20"/>
                <w:szCs w:val="20"/>
                <w:lang w:val="en-GB"/>
              </w:rPr>
            </w:pPr>
            <w:r w:rsidRPr="00DA68FF">
              <w:rPr>
                <w:rFonts w:eastAsia="Times New Roman" w:cstheme="minorHAnsi"/>
                <w:sz w:val="20"/>
                <w:szCs w:val="20"/>
                <w:lang w:val="en-GB"/>
              </w:rPr>
              <w:t>Lump-sum contract (payments linked to satisfactory performance and delivery of results)</w:t>
            </w:r>
          </w:p>
          <w:p w14:paraId="708DC1A6" w14:textId="4B2DDD98" w:rsidR="008E130E" w:rsidRPr="008E130E" w:rsidRDefault="008E130E" w:rsidP="008E130E">
            <w:pPr>
              <w:rPr>
                <w:rFonts w:cstheme="minorHAnsi"/>
              </w:rPr>
            </w:pPr>
          </w:p>
        </w:tc>
      </w:tr>
      <w:tr w:rsidR="00B40FB2" w:rsidRPr="009D420B" w14:paraId="4728C451" w14:textId="77777777" w:rsidTr="009D420B">
        <w:trPr>
          <w:trHeight w:val="323"/>
        </w:trPr>
        <w:tc>
          <w:tcPr>
            <w:tcW w:w="3114" w:type="dxa"/>
            <w:shd w:val="clear" w:color="auto" w:fill="F2F2F2"/>
          </w:tcPr>
          <w:p w14:paraId="44F45B43" w14:textId="77777777" w:rsidR="00B40FB2" w:rsidRPr="00B40FB2" w:rsidRDefault="00B40FB2" w:rsidP="00B40FB2">
            <w:pPr>
              <w:tabs>
                <w:tab w:val="left" w:pos="4395"/>
              </w:tabs>
              <w:spacing w:after="60" w:line="240" w:lineRule="auto"/>
              <w:ind w:left="3969" w:hanging="3969"/>
              <w:jc w:val="both"/>
              <w:rPr>
                <w:rFonts w:eastAsia="Times New Roman" w:cstheme="minorHAnsi"/>
                <w:sz w:val="20"/>
                <w:szCs w:val="20"/>
                <w:lang w:val="en-GB"/>
              </w:rPr>
            </w:pPr>
            <w:r w:rsidRPr="00B40FB2">
              <w:rPr>
                <w:rFonts w:eastAsia="Times New Roman" w:cstheme="minorHAnsi"/>
                <w:sz w:val="20"/>
                <w:szCs w:val="20"/>
                <w:lang w:val="en-GB"/>
              </w:rPr>
              <w:tab/>
            </w:r>
          </w:p>
          <w:p w14:paraId="400E86C6" w14:textId="6D5E048F" w:rsidR="00B40FB2" w:rsidRPr="009D420B" w:rsidRDefault="00B40FB2" w:rsidP="00B40FB2">
            <w:pPr>
              <w:spacing w:after="0" w:line="240" w:lineRule="auto"/>
              <w:jc w:val="both"/>
              <w:rPr>
                <w:rFonts w:eastAsia="Times New Roman" w:cstheme="minorHAnsi"/>
                <w:sz w:val="20"/>
                <w:szCs w:val="20"/>
                <w:lang w:val="en-GB"/>
              </w:rPr>
            </w:pPr>
            <w:r w:rsidRPr="00B40FB2">
              <w:rPr>
                <w:rFonts w:eastAsia="Times New Roman" w:cstheme="minorHAnsi"/>
                <w:sz w:val="20"/>
                <w:szCs w:val="20"/>
                <w:lang w:val="en-GB"/>
              </w:rPr>
              <w:t xml:space="preserve">Administrative arrangements:                   </w:t>
            </w:r>
          </w:p>
        </w:tc>
        <w:tc>
          <w:tcPr>
            <w:tcW w:w="6237" w:type="dxa"/>
          </w:tcPr>
          <w:p w14:paraId="08553040" w14:textId="2F8E6D0E" w:rsidR="00B40FB2" w:rsidRDefault="00B40FB2" w:rsidP="002D504C">
            <w:pPr>
              <w:spacing w:after="0" w:line="240" w:lineRule="auto"/>
              <w:jc w:val="both"/>
              <w:rPr>
                <w:rFonts w:eastAsia="Times New Roman" w:cstheme="minorHAnsi"/>
                <w:sz w:val="20"/>
                <w:szCs w:val="20"/>
                <w:lang w:val="en-GB"/>
              </w:rPr>
            </w:pPr>
            <w:r w:rsidRPr="00B40FB2">
              <w:rPr>
                <w:rFonts w:eastAsia="Times New Roman" w:cstheme="minorHAnsi"/>
                <w:sz w:val="20"/>
                <w:szCs w:val="20"/>
                <w:lang w:val="en-GB"/>
              </w:rPr>
              <w:t>The contractor will have to arrange his/her workplace, logistics and equipment. In case of unforeseen travel, UNDP IRH will arrange the Consultant’s travel according to UNDP’s procedures</w:t>
            </w:r>
          </w:p>
        </w:tc>
      </w:tr>
      <w:tr w:rsidR="00B40FB2" w:rsidRPr="009D420B" w14:paraId="02315787" w14:textId="77777777" w:rsidTr="009D420B">
        <w:trPr>
          <w:trHeight w:val="323"/>
        </w:trPr>
        <w:tc>
          <w:tcPr>
            <w:tcW w:w="3114" w:type="dxa"/>
            <w:shd w:val="clear" w:color="auto" w:fill="F2F2F2"/>
          </w:tcPr>
          <w:p w14:paraId="51504B30" w14:textId="6E55562E" w:rsidR="00B40FB2" w:rsidRPr="009D420B" w:rsidRDefault="00B40FB2" w:rsidP="00C25EA2">
            <w:pPr>
              <w:spacing w:after="0" w:line="240" w:lineRule="auto"/>
              <w:jc w:val="both"/>
              <w:rPr>
                <w:rFonts w:eastAsia="Times New Roman" w:cstheme="minorHAnsi"/>
                <w:sz w:val="20"/>
                <w:szCs w:val="20"/>
                <w:lang w:val="en-GB"/>
              </w:rPr>
            </w:pPr>
            <w:r w:rsidRPr="00B40FB2">
              <w:rPr>
                <w:rFonts w:eastAsia="Times New Roman" w:cstheme="minorHAnsi"/>
                <w:sz w:val="20"/>
                <w:szCs w:val="20"/>
                <w:lang w:val="en-GB"/>
              </w:rPr>
              <w:t>Evaluation method:</w:t>
            </w:r>
          </w:p>
        </w:tc>
        <w:tc>
          <w:tcPr>
            <w:tcW w:w="6237" w:type="dxa"/>
          </w:tcPr>
          <w:p w14:paraId="10615CC9" w14:textId="0544086A" w:rsidR="00B40FB2" w:rsidRDefault="008315CD" w:rsidP="002D504C">
            <w:pPr>
              <w:spacing w:after="0" w:line="240" w:lineRule="auto"/>
              <w:jc w:val="both"/>
              <w:rPr>
                <w:rFonts w:eastAsia="Times New Roman" w:cstheme="minorHAnsi"/>
                <w:sz w:val="20"/>
                <w:szCs w:val="20"/>
                <w:lang w:val="en-GB"/>
              </w:rPr>
            </w:pPr>
            <w:r>
              <w:rPr>
                <w:rFonts w:eastAsia="Times New Roman" w:cstheme="minorHAnsi"/>
                <w:sz w:val="20"/>
                <w:szCs w:val="20"/>
                <w:lang w:val="en-GB"/>
              </w:rPr>
              <w:t>Desk review and interviews</w:t>
            </w:r>
          </w:p>
        </w:tc>
      </w:tr>
      <w:tr w:rsidR="00C25EA2" w:rsidRPr="009D420B" w14:paraId="3BA40ED1" w14:textId="77777777" w:rsidTr="009D420B">
        <w:trPr>
          <w:trHeight w:val="238"/>
        </w:trPr>
        <w:tc>
          <w:tcPr>
            <w:tcW w:w="3114" w:type="dxa"/>
            <w:shd w:val="clear" w:color="auto" w:fill="F2F2F2"/>
          </w:tcPr>
          <w:p w14:paraId="4F2E2545" w14:textId="77777777" w:rsidR="00C25EA2" w:rsidRPr="009D420B" w:rsidRDefault="00C25EA2" w:rsidP="00C25EA2">
            <w:pPr>
              <w:spacing w:after="0" w:line="240" w:lineRule="auto"/>
              <w:rPr>
                <w:rFonts w:eastAsia="Times New Roman" w:cstheme="minorHAnsi"/>
                <w:sz w:val="20"/>
                <w:szCs w:val="20"/>
                <w:lang w:val="en-GB"/>
              </w:rPr>
            </w:pPr>
            <w:r w:rsidRPr="009D420B">
              <w:rPr>
                <w:rFonts w:eastAsia="Times New Roman" w:cstheme="minorHAnsi"/>
                <w:sz w:val="20"/>
                <w:szCs w:val="20"/>
                <w:lang w:val="en-GB"/>
              </w:rPr>
              <w:t>Estimated duration of assignment:</w:t>
            </w:r>
          </w:p>
        </w:tc>
        <w:tc>
          <w:tcPr>
            <w:tcW w:w="6237" w:type="dxa"/>
            <w:vAlign w:val="center"/>
          </w:tcPr>
          <w:p w14:paraId="3858A44E" w14:textId="4B2659A1" w:rsidR="00C25EA2" w:rsidRPr="00B40FB2" w:rsidRDefault="002B1492" w:rsidP="00866B2D">
            <w:pPr>
              <w:spacing w:after="0" w:line="240" w:lineRule="auto"/>
              <w:rPr>
                <w:rFonts w:eastAsia="Times New Roman" w:cstheme="minorHAnsi"/>
                <w:sz w:val="20"/>
                <w:szCs w:val="20"/>
                <w:lang w:val="en-GB"/>
              </w:rPr>
            </w:pPr>
            <w:r>
              <w:rPr>
                <w:rFonts w:eastAsia="Times New Roman" w:cstheme="minorHAnsi"/>
                <w:sz w:val="20"/>
                <w:szCs w:val="20"/>
                <w:lang w:val="en-GB"/>
              </w:rPr>
              <w:t xml:space="preserve">Up-to </w:t>
            </w:r>
            <w:r w:rsidR="007B3911">
              <w:rPr>
                <w:rFonts w:eastAsia="Times New Roman" w:cstheme="minorHAnsi"/>
                <w:sz w:val="20"/>
                <w:szCs w:val="20"/>
                <w:lang w:val="en-GB"/>
              </w:rPr>
              <w:t>30</w:t>
            </w:r>
            <w:r w:rsidR="00C424EE" w:rsidRPr="009D420B">
              <w:rPr>
                <w:rFonts w:eastAsia="Times New Roman" w:cstheme="minorHAnsi"/>
                <w:sz w:val="20"/>
                <w:szCs w:val="20"/>
                <w:lang w:val="en-GB"/>
              </w:rPr>
              <w:t xml:space="preserve"> </w:t>
            </w:r>
            <w:r w:rsidR="00866B2D" w:rsidRPr="009D420B">
              <w:rPr>
                <w:rFonts w:eastAsia="Times New Roman" w:cstheme="minorHAnsi"/>
                <w:sz w:val="20"/>
                <w:szCs w:val="20"/>
                <w:lang w:val="en-GB"/>
              </w:rPr>
              <w:t xml:space="preserve">days over a period of </w:t>
            </w:r>
            <w:r w:rsidR="004E1F93">
              <w:rPr>
                <w:rFonts w:eastAsia="Times New Roman" w:cstheme="minorHAnsi"/>
                <w:sz w:val="20"/>
                <w:szCs w:val="20"/>
                <w:lang w:val="en-GB"/>
              </w:rPr>
              <w:t>7</w:t>
            </w:r>
            <w:r w:rsidR="00866B2D" w:rsidRPr="009D420B">
              <w:rPr>
                <w:rFonts w:eastAsia="Times New Roman" w:cstheme="minorHAnsi"/>
                <w:sz w:val="20"/>
                <w:szCs w:val="20"/>
                <w:lang w:val="en-GB"/>
              </w:rPr>
              <w:t xml:space="preserve"> months</w:t>
            </w:r>
          </w:p>
        </w:tc>
      </w:tr>
      <w:tr w:rsidR="00C25EA2" w:rsidRPr="009D420B" w14:paraId="0EEFC0EA" w14:textId="77777777" w:rsidTr="009D420B">
        <w:trPr>
          <w:trHeight w:val="647"/>
        </w:trPr>
        <w:tc>
          <w:tcPr>
            <w:tcW w:w="3114" w:type="dxa"/>
            <w:shd w:val="clear" w:color="auto" w:fill="F2F2F2"/>
          </w:tcPr>
          <w:p w14:paraId="1FD93089" w14:textId="3D02DAAF" w:rsidR="00C25EA2" w:rsidRPr="009D420B" w:rsidRDefault="00C25EA2" w:rsidP="00C25EA2">
            <w:pPr>
              <w:spacing w:after="0" w:line="240" w:lineRule="auto"/>
              <w:rPr>
                <w:rFonts w:eastAsia="Times New Roman" w:cstheme="minorHAnsi"/>
                <w:sz w:val="20"/>
                <w:szCs w:val="20"/>
                <w:lang w:val="en-GB"/>
              </w:rPr>
            </w:pPr>
            <w:r w:rsidRPr="009D420B">
              <w:rPr>
                <w:rFonts w:eastAsia="Times New Roman" w:cstheme="minorHAnsi"/>
                <w:sz w:val="20"/>
                <w:szCs w:val="20"/>
                <w:lang w:val="en-GB"/>
              </w:rPr>
              <w:t>Supervisors:</w:t>
            </w:r>
          </w:p>
        </w:tc>
        <w:tc>
          <w:tcPr>
            <w:tcW w:w="6237" w:type="dxa"/>
          </w:tcPr>
          <w:p w14:paraId="6A27AB9E" w14:textId="346447FE" w:rsidR="00C25EA2" w:rsidRPr="00B40FB2" w:rsidRDefault="00A01628" w:rsidP="00C25EA2">
            <w:pPr>
              <w:spacing w:after="0" w:line="240" w:lineRule="auto"/>
              <w:rPr>
                <w:rFonts w:eastAsia="Times New Roman" w:cstheme="minorHAnsi"/>
                <w:sz w:val="20"/>
                <w:szCs w:val="20"/>
                <w:lang w:val="en-GB"/>
              </w:rPr>
            </w:pPr>
            <w:r>
              <w:rPr>
                <w:rFonts w:eastAsia="Times New Roman" w:cstheme="minorHAnsi"/>
                <w:sz w:val="20"/>
                <w:szCs w:val="20"/>
                <w:lang w:val="en-GB"/>
              </w:rPr>
              <w:t xml:space="preserve">HIV, Health and Development Team Leader and </w:t>
            </w:r>
            <w:r w:rsidR="002B1492">
              <w:rPr>
                <w:rFonts w:eastAsia="Times New Roman" w:cstheme="minorHAnsi"/>
                <w:sz w:val="20"/>
                <w:szCs w:val="20"/>
                <w:lang w:val="en-GB"/>
              </w:rPr>
              <w:t>Climate and DRR Team Leader, Istanbul Regional Hub</w:t>
            </w:r>
            <w:r w:rsidR="00CF6621">
              <w:rPr>
                <w:rFonts w:eastAsia="Times New Roman" w:cstheme="minorHAnsi"/>
                <w:sz w:val="20"/>
                <w:szCs w:val="20"/>
                <w:lang w:val="en-GB"/>
              </w:rPr>
              <w:t xml:space="preserve"> (IRH)</w:t>
            </w:r>
            <w:r w:rsidR="002B1492">
              <w:rPr>
                <w:rFonts w:eastAsia="Times New Roman" w:cstheme="minorHAnsi"/>
                <w:sz w:val="20"/>
                <w:szCs w:val="20"/>
                <w:lang w:val="en-GB"/>
              </w:rPr>
              <w:t>,</w:t>
            </w:r>
            <w:r w:rsidR="00C25EA2" w:rsidRPr="009D420B">
              <w:rPr>
                <w:rFonts w:eastAsia="Times New Roman" w:cstheme="minorHAnsi"/>
                <w:sz w:val="20"/>
                <w:szCs w:val="20"/>
                <w:lang w:val="en-GB"/>
              </w:rPr>
              <w:t xml:space="preserve"> United Nations Development Programme</w:t>
            </w:r>
          </w:p>
        </w:tc>
      </w:tr>
    </w:tbl>
    <w:p w14:paraId="1CFB5AB5" w14:textId="595F1A5D" w:rsidR="000C0C5C" w:rsidRDefault="000C0C5C" w:rsidP="00A02433">
      <w:pPr>
        <w:keepNext/>
        <w:jc w:val="both"/>
        <w:rPr>
          <w:rFonts w:cstheme="minorHAnsi"/>
          <w:b/>
        </w:rPr>
      </w:pPr>
    </w:p>
    <w:p w14:paraId="585589D8" w14:textId="0E31FDB7" w:rsidR="00A02433" w:rsidRPr="008E130E" w:rsidRDefault="00A02433" w:rsidP="00D36222">
      <w:pPr>
        <w:pStyle w:val="ListParagraph"/>
        <w:numPr>
          <w:ilvl w:val="0"/>
          <w:numId w:val="38"/>
        </w:numPr>
        <w:spacing w:after="60"/>
        <w:rPr>
          <w:rFonts w:asciiTheme="minorHAnsi" w:hAnsiTheme="minorHAnsi" w:cstheme="minorHAnsi"/>
          <w:b/>
        </w:rPr>
      </w:pPr>
      <w:r w:rsidRPr="008E130E">
        <w:rPr>
          <w:rFonts w:asciiTheme="minorHAnsi" w:hAnsiTheme="minorHAnsi" w:cstheme="minorHAnsi"/>
          <w:b/>
        </w:rPr>
        <w:t>Background:</w:t>
      </w:r>
    </w:p>
    <w:p w14:paraId="7DB77B28" w14:textId="79099BBA" w:rsidR="00133898" w:rsidRPr="008E5984" w:rsidRDefault="006E4CD1" w:rsidP="008E5984">
      <w:pPr>
        <w:pStyle w:val="Heading1"/>
        <w:spacing w:before="0"/>
        <w:jc w:val="both"/>
        <w:rPr>
          <w:rFonts w:asciiTheme="minorHAnsi" w:eastAsiaTheme="minorHAnsi" w:hAnsiTheme="minorHAnsi" w:cstheme="minorHAnsi"/>
          <w:b w:val="0"/>
          <w:bCs w:val="0"/>
          <w:color w:val="auto"/>
          <w:sz w:val="21"/>
          <w:szCs w:val="21"/>
        </w:rPr>
      </w:pPr>
      <w:r w:rsidRPr="00FC6BBA">
        <w:rPr>
          <w:rFonts w:asciiTheme="minorHAnsi" w:eastAsiaTheme="minorHAnsi" w:hAnsiTheme="minorHAnsi" w:cstheme="minorHAnsi"/>
          <w:b w:val="0"/>
          <w:bCs w:val="0"/>
          <w:color w:val="auto"/>
          <w:sz w:val="21"/>
          <w:szCs w:val="21"/>
        </w:rPr>
        <w:t xml:space="preserve">Addressing climate change </w:t>
      </w:r>
      <w:r w:rsidR="00D72A5A" w:rsidRPr="00FC6BBA">
        <w:rPr>
          <w:rFonts w:asciiTheme="minorHAnsi" w:eastAsiaTheme="minorHAnsi" w:hAnsiTheme="minorHAnsi" w:cstheme="minorHAnsi"/>
          <w:b w:val="0"/>
          <w:bCs w:val="0"/>
          <w:color w:val="auto"/>
          <w:sz w:val="21"/>
          <w:szCs w:val="21"/>
        </w:rPr>
        <w:t xml:space="preserve">in an integrated manner </w:t>
      </w:r>
      <w:r w:rsidRPr="00FC6BBA">
        <w:rPr>
          <w:rFonts w:asciiTheme="minorHAnsi" w:eastAsiaTheme="minorHAnsi" w:hAnsiTheme="minorHAnsi" w:cstheme="minorHAnsi"/>
          <w:b w:val="0"/>
          <w:bCs w:val="0"/>
          <w:color w:val="auto"/>
          <w:sz w:val="21"/>
          <w:szCs w:val="21"/>
        </w:rPr>
        <w:t xml:space="preserve">is one the key global challenges and priorities. Working in over 170 countries and territories, UNDP is uniquely placed to work with all sectors of society to help mobilize the institutions and resources required to support countries implement their </w:t>
      </w:r>
      <w:r w:rsidR="002B1492" w:rsidRPr="00FC6BBA">
        <w:rPr>
          <w:rFonts w:asciiTheme="minorHAnsi" w:eastAsiaTheme="minorHAnsi" w:hAnsiTheme="minorHAnsi" w:cstheme="minorHAnsi"/>
          <w:b w:val="0"/>
          <w:bCs w:val="0"/>
          <w:color w:val="auto"/>
          <w:sz w:val="21"/>
          <w:szCs w:val="21"/>
        </w:rPr>
        <w:t>climate action targets</w:t>
      </w:r>
      <w:r w:rsidRPr="00FC6BBA">
        <w:rPr>
          <w:rFonts w:asciiTheme="minorHAnsi" w:eastAsiaTheme="minorHAnsi" w:hAnsiTheme="minorHAnsi" w:cstheme="minorHAnsi"/>
          <w:b w:val="0"/>
          <w:bCs w:val="0"/>
          <w:color w:val="auto"/>
          <w:sz w:val="21"/>
          <w:szCs w:val="21"/>
        </w:rPr>
        <w:t xml:space="preserve"> in the context of the Paris Agreement. </w:t>
      </w:r>
      <w:r w:rsidR="00704092" w:rsidRPr="00FC6BBA">
        <w:rPr>
          <w:rFonts w:asciiTheme="minorHAnsi" w:eastAsiaTheme="minorHAnsi" w:hAnsiTheme="minorHAnsi" w:cstheme="minorHAnsi"/>
          <w:b w:val="0"/>
          <w:bCs w:val="0"/>
          <w:color w:val="auto"/>
          <w:sz w:val="21"/>
          <w:szCs w:val="21"/>
        </w:rPr>
        <w:t xml:space="preserve">In 2018, UNDP and WHO signed a Memorandum of Understanding and committed to collaborate on addressing the social, economic and environmental determinants of health and supporting multisectoral responses to health emergencies and to health challenges arising from climate change. In 2020, UNDP and WHO-Europe launched a joint value proposition on “Addressing climate change and health in the Europe and Central Asia region”, which provides an overview of key thematic and programmatic entry points toward strengthening national health adaptation and mitigation capacities. </w:t>
      </w:r>
    </w:p>
    <w:p w14:paraId="3F402B53" w14:textId="02FCB8FA" w:rsidR="00CF6621" w:rsidRPr="00B40FB2" w:rsidRDefault="00CF6621" w:rsidP="00B40FB2">
      <w:pPr>
        <w:jc w:val="both"/>
        <w:rPr>
          <w:rFonts w:cstheme="minorHAnsi"/>
          <w:sz w:val="21"/>
          <w:szCs w:val="21"/>
        </w:rPr>
      </w:pPr>
      <w:r w:rsidRPr="00B40FB2">
        <w:rPr>
          <w:rFonts w:cstheme="minorHAnsi"/>
          <w:sz w:val="21"/>
          <w:szCs w:val="21"/>
        </w:rPr>
        <w:t xml:space="preserve">Climate change impacts human health and the health sector in various ways: rising temperatures lead to increased heat strokes and deaths related to cardiovascular or respiratory issues; extreme precipitation and flooding result in damages to health infrastructure and the aggravation of water-borne diseases; mudflows and landslides cause accidents and injuries. Climate change will bring major changes to the epidemiology of infectious diseases through changes in microbial and vector geographic range. Climate change, interacting with environmental change more broadly, has already made conditions more </w:t>
      </w:r>
      <w:proofErr w:type="spellStart"/>
      <w:r w:rsidRPr="00B40FB2">
        <w:rPr>
          <w:rFonts w:cstheme="minorHAnsi"/>
          <w:sz w:val="21"/>
          <w:szCs w:val="21"/>
        </w:rPr>
        <w:t>favourable</w:t>
      </w:r>
      <w:proofErr w:type="spellEnd"/>
      <w:r w:rsidRPr="00B40FB2">
        <w:rPr>
          <w:rFonts w:cstheme="minorHAnsi"/>
          <w:sz w:val="21"/>
          <w:szCs w:val="21"/>
        </w:rPr>
        <w:t xml:space="preserve"> for the emergence and spread of certain infectious diseases. Global warming, change in precipitation regime and increased frequency of extreme events such as droughts and floods directly affect availability of safe water. This exemplifies the complex interaction between different health impacts. The direct effects of climate change on health are compounded by indirect climate change impacts like loss of food supply – linked to droughts, floods and cold </w:t>
      </w:r>
      <w:r w:rsidRPr="00B40FB2">
        <w:rPr>
          <w:rFonts w:cstheme="minorHAnsi"/>
          <w:sz w:val="21"/>
          <w:szCs w:val="21"/>
        </w:rPr>
        <w:lastRenderedPageBreak/>
        <w:t xml:space="preserve">spells – which can create and exacerbate nutritional issues, subsequently increasing the vulnerability of populations to disease and mortality. </w:t>
      </w:r>
    </w:p>
    <w:p w14:paraId="51DD8F81" w14:textId="3A3C4A80" w:rsidR="00CF6621" w:rsidRPr="00B40FB2" w:rsidRDefault="00CF6621" w:rsidP="00B40FB2">
      <w:pPr>
        <w:jc w:val="both"/>
        <w:rPr>
          <w:rFonts w:cstheme="minorHAnsi"/>
          <w:sz w:val="21"/>
          <w:szCs w:val="21"/>
        </w:rPr>
      </w:pPr>
      <w:r w:rsidRPr="00B40FB2">
        <w:rPr>
          <w:rFonts w:cstheme="minorHAnsi"/>
          <w:sz w:val="21"/>
          <w:szCs w:val="21"/>
        </w:rPr>
        <w:t xml:space="preserve">Countries in Eastern Europe, Caucasus and Central Asia (EECCA) </w:t>
      </w:r>
      <w:r w:rsidR="00FC6BBA" w:rsidRPr="00FC6BBA">
        <w:rPr>
          <w:rFonts w:cstheme="minorHAnsi"/>
          <w:sz w:val="21"/>
          <w:szCs w:val="21"/>
        </w:rPr>
        <w:t>experience, and will continue to face, increased temperatures, more frequent and severe natural disasters related to climate change caused by shifts in temperature, precipitation and water regimes (e.g. heat waves, drought spells, floods and other climate-driven extreme events).</w:t>
      </w:r>
      <w:r w:rsidRPr="00B40FB2">
        <w:rPr>
          <w:rFonts w:cstheme="minorHAnsi"/>
          <w:sz w:val="21"/>
          <w:szCs w:val="21"/>
        </w:rPr>
        <w:t xml:space="preserve">, </w:t>
      </w:r>
      <w:r w:rsidR="00FC6BBA">
        <w:rPr>
          <w:rFonts w:cstheme="minorHAnsi"/>
          <w:sz w:val="21"/>
          <w:szCs w:val="21"/>
        </w:rPr>
        <w:t>Y</w:t>
      </w:r>
      <w:r w:rsidR="00FC6BBA" w:rsidRPr="00B40FB2">
        <w:rPr>
          <w:rFonts w:cstheme="minorHAnsi"/>
          <w:sz w:val="21"/>
          <w:szCs w:val="21"/>
        </w:rPr>
        <w:t xml:space="preserve">et </w:t>
      </w:r>
      <w:r w:rsidR="0002601E">
        <w:rPr>
          <w:rFonts w:cstheme="minorHAnsi"/>
          <w:sz w:val="21"/>
          <w:szCs w:val="21"/>
        </w:rPr>
        <w:t xml:space="preserve">, </w:t>
      </w:r>
      <w:r w:rsidRPr="00B40FB2">
        <w:rPr>
          <w:rFonts w:cstheme="minorHAnsi"/>
          <w:sz w:val="21"/>
          <w:szCs w:val="21"/>
        </w:rPr>
        <w:t xml:space="preserve">many of them lack the capacity and resources needed to prepare for and respond to this challenge. In 2020 the national public health systems in EECCA </w:t>
      </w:r>
      <w:r w:rsidR="00B8347D">
        <w:rPr>
          <w:rFonts w:cstheme="minorHAnsi"/>
          <w:sz w:val="21"/>
          <w:szCs w:val="21"/>
        </w:rPr>
        <w:t xml:space="preserve">were </w:t>
      </w:r>
      <w:r w:rsidRPr="00B40FB2">
        <w:rPr>
          <w:rFonts w:cstheme="minorHAnsi"/>
          <w:sz w:val="21"/>
          <w:szCs w:val="21"/>
        </w:rPr>
        <w:t xml:space="preserve"> significantly affected by COVID-19. Support is required to make sure that COVID-19 recovery investments are climate informed and climate-proof</w:t>
      </w:r>
      <w:r w:rsidR="00B8347D">
        <w:rPr>
          <w:rFonts w:cstheme="minorHAnsi"/>
          <w:sz w:val="21"/>
          <w:szCs w:val="21"/>
        </w:rPr>
        <w:t xml:space="preserve"> and in support of decarbonization of the health sector whose mission is to health and not contribute to harming the health of people and of planet</w:t>
      </w:r>
      <w:r w:rsidRPr="00B40FB2">
        <w:rPr>
          <w:rFonts w:cstheme="minorHAnsi"/>
          <w:sz w:val="21"/>
          <w:szCs w:val="21"/>
        </w:rPr>
        <w:t xml:space="preserve">. </w:t>
      </w:r>
    </w:p>
    <w:p w14:paraId="142F37FA" w14:textId="4683DAA8" w:rsidR="00981D02" w:rsidRPr="00B40FB2" w:rsidRDefault="006E4CD1" w:rsidP="00B40FB2">
      <w:pPr>
        <w:jc w:val="both"/>
        <w:rPr>
          <w:rFonts w:cstheme="minorHAnsi"/>
          <w:sz w:val="21"/>
          <w:szCs w:val="21"/>
        </w:rPr>
      </w:pPr>
      <w:r w:rsidRPr="009D420B">
        <w:rPr>
          <w:rFonts w:cstheme="minorHAnsi"/>
          <w:sz w:val="21"/>
          <w:szCs w:val="21"/>
        </w:rPr>
        <w:t xml:space="preserve">UNDP seeks to engage </w:t>
      </w:r>
      <w:r w:rsidR="005140C2" w:rsidRPr="009D420B">
        <w:rPr>
          <w:rFonts w:cstheme="minorHAnsi"/>
          <w:sz w:val="21"/>
          <w:szCs w:val="21"/>
        </w:rPr>
        <w:t xml:space="preserve">a </w:t>
      </w:r>
      <w:proofErr w:type="spellStart"/>
      <w:r w:rsidR="00C424EE">
        <w:rPr>
          <w:rFonts w:cstheme="minorHAnsi"/>
          <w:sz w:val="21"/>
          <w:szCs w:val="21"/>
        </w:rPr>
        <w:t>Programme</w:t>
      </w:r>
      <w:proofErr w:type="spellEnd"/>
      <w:r w:rsidR="00C424EE">
        <w:rPr>
          <w:rFonts w:cstheme="minorHAnsi"/>
          <w:sz w:val="21"/>
          <w:szCs w:val="21"/>
        </w:rPr>
        <w:t xml:space="preserve"> Development Specialist</w:t>
      </w:r>
      <w:r w:rsidRPr="009D420B">
        <w:rPr>
          <w:rFonts w:cstheme="minorHAnsi"/>
          <w:sz w:val="21"/>
          <w:szCs w:val="21"/>
        </w:rPr>
        <w:t xml:space="preserve"> </w:t>
      </w:r>
      <w:r w:rsidR="003B0AB5">
        <w:rPr>
          <w:rFonts w:cstheme="minorHAnsi"/>
        </w:rPr>
        <w:t xml:space="preserve">(hereinafter “Consultant”) </w:t>
      </w:r>
      <w:r w:rsidRPr="009D420B">
        <w:rPr>
          <w:rFonts w:cstheme="minorHAnsi"/>
          <w:sz w:val="21"/>
          <w:szCs w:val="21"/>
        </w:rPr>
        <w:t>on</w:t>
      </w:r>
      <w:r w:rsidR="002B1492" w:rsidRPr="002B1492">
        <w:rPr>
          <w:rFonts w:cstheme="minorHAnsi"/>
          <w:sz w:val="21"/>
          <w:szCs w:val="21"/>
        </w:rPr>
        <w:t xml:space="preserve"> climate resilient health services</w:t>
      </w:r>
      <w:r w:rsidR="002B1492">
        <w:rPr>
          <w:rFonts w:cstheme="minorHAnsi"/>
          <w:sz w:val="21"/>
          <w:szCs w:val="21"/>
        </w:rPr>
        <w:t xml:space="preserve"> in </w:t>
      </w:r>
      <w:r w:rsidR="002B1492" w:rsidRPr="002B1492">
        <w:rPr>
          <w:rFonts w:cstheme="minorHAnsi"/>
          <w:sz w:val="21"/>
          <w:szCs w:val="21"/>
        </w:rPr>
        <w:t>Eastern Europe, Caucasus and Central Asia</w:t>
      </w:r>
      <w:r w:rsidR="002B1492" w:rsidRPr="00B40FB2">
        <w:rPr>
          <w:rFonts w:cstheme="minorHAnsi"/>
          <w:sz w:val="21"/>
          <w:szCs w:val="21"/>
        </w:rPr>
        <w:t xml:space="preserve"> </w:t>
      </w:r>
      <w:r w:rsidR="00B40FB2">
        <w:rPr>
          <w:rFonts w:cstheme="minorHAnsi"/>
          <w:sz w:val="21"/>
          <w:szCs w:val="21"/>
        </w:rPr>
        <w:t xml:space="preserve">(EECCA) </w:t>
      </w:r>
      <w:r w:rsidRPr="009D420B">
        <w:rPr>
          <w:rFonts w:cstheme="minorHAnsi"/>
          <w:sz w:val="21"/>
          <w:szCs w:val="21"/>
        </w:rPr>
        <w:t xml:space="preserve">to support </w:t>
      </w:r>
      <w:r w:rsidR="002B1492">
        <w:rPr>
          <w:rFonts w:cstheme="minorHAnsi"/>
          <w:sz w:val="21"/>
          <w:szCs w:val="21"/>
        </w:rPr>
        <w:t>r</w:t>
      </w:r>
      <w:r w:rsidRPr="009D420B">
        <w:rPr>
          <w:rFonts w:cstheme="minorHAnsi"/>
          <w:sz w:val="21"/>
          <w:szCs w:val="21"/>
        </w:rPr>
        <w:t>egion</w:t>
      </w:r>
      <w:r w:rsidR="00B8347D">
        <w:rPr>
          <w:rFonts w:cstheme="minorHAnsi"/>
          <w:sz w:val="21"/>
          <w:szCs w:val="21"/>
        </w:rPr>
        <w:t>al</w:t>
      </w:r>
      <w:r w:rsidRPr="009D420B">
        <w:rPr>
          <w:rFonts w:cstheme="minorHAnsi"/>
          <w:sz w:val="21"/>
          <w:szCs w:val="21"/>
        </w:rPr>
        <w:t xml:space="preserve"> and C</w:t>
      </w:r>
      <w:r w:rsidR="00B8347D">
        <w:rPr>
          <w:rFonts w:cstheme="minorHAnsi"/>
          <w:sz w:val="21"/>
          <w:szCs w:val="21"/>
        </w:rPr>
        <w:t xml:space="preserve">ountry </w:t>
      </w:r>
      <w:r w:rsidRPr="009D420B">
        <w:rPr>
          <w:rFonts w:cstheme="minorHAnsi"/>
          <w:sz w:val="21"/>
          <w:szCs w:val="21"/>
        </w:rPr>
        <w:t>O</w:t>
      </w:r>
      <w:r w:rsidR="00B8347D">
        <w:rPr>
          <w:rFonts w:cstheme="minorHAnsi"/>
          <w:sz w:val="21"/>
          <w:szCs w:val="21"/>
        </w:rPr>
        <w:t>ffice</w:t>
      </w:r>
      <w:r w:rsidR="002B1492">
        <w:rPr>
          <w:rFonts w:cstheme="minorHAnsi"/>
          <w:sz w:val="21"/>
          <w:szCs w:val="21"/>
        </w:rPr>
        <w:t>s</w:t>
      </w:r>
      <w:r w:rsidRPr="009D420B">
        <w:rPr>
          <w:rFonts w:cstheme="minorHAnsi"/>
          <w:sz w:val="21"/>
          <w:szCs w:val="21"/>
        </w:rPr>
        <w:t xml:space="preserve"> staff with delivering technical assistance to  Governments. The </w:t>
      </w:r>
      <w:r w:rsidR="005140C2" w:rsidRPr="009D420B">
        <w:rPr>
          <w:rFonts w:cstheme="minorHAnsi"/>
          <w:sz w:val="21"/>
          <w:szCs w:val="21"/>
        </w:rPr>
        <w:t>consultant</w:t>
      </w:r>
      <w:r w:rsidRPr="009D420B">
        <w:rPr>
          <w:rFonts w:cstheme="minorHAnsi"/>
          <w:sz w:val="21"/>
          <w:szCs w:val="21"/>
        </w:rPr>
        <w:t xml:space="preserve"> will be expected to deliver high quality, cutting-edge technical advisory support </w:t>
      </w:r>
      <w:r w:rsidR="00C424EE">
        <w:rPr>
          <w:rFonts w:cstheme="minorHAnsi"/>
          <w:sz w:val="21"/>
          <w:szCs w:val="21"/>
        </w:rPr>
        <w:t xml:space="preserve">to the development of a </w:t>
      </w:r>
      <w:r w:rsidR="00FC6BBA">
        <w:rPr>
          <w:rFonts w:cstheme="minorHAnsi"/>
          <w:sz w:val="21"/>
          <w:szCs w:val="21"/>
        </w:rPr>
        <w:t xml:space="preserve">joint UNDP-WHO </w:t>
      </w:r>
      <w:r w:rsidR="00DA68FF">
        <w:rPr>
          <w:rFonts w:cstheme="minorHAnsi"/>
          <w:sz w:val="21"/>
          <w:szCs w:val="21"/>
        </w:rPr>
        <w:t xml:space="preserve">Concept Note and pre-feasibility study for the </w:t>
      </w:r>
      <w:r w:rsidR="00C424EE">
        <w:rPr>
          <w:rFonts w:cstheme="minorHAnsi"/>
          <w:sz w:val="21"/>
          <w:szCs w:val="21"/>
        </w:rPr>
        <w:t xml:space="preserve">vertical fund </w:t>
      </w:r>
      <w:r w:rsidR="00CF6621">
        <w:rPr>
          <w:rFonts w:cstheme="minorHAnsi"/>
          <w:sz w:val="21"/>
          <w:szCs w:val="21"/>
        </w:rPr>
        <w:t>regional</w:t>
      </w:r>
      <w:r w:rsidR="00C424EE">
        <w:rPr>
          <w:rFonts w:cstheme="minorHAnsi"/>
          <w:sz w:val="21"/>
          <w:szCs w:val="21"/>
        </w:rPr>
        <w:t xml:space="preserve"> </w:t>
      </w:r>
      <w:proofErr w:type="spellStart"/>
      <w:r w:rsidR="00C424EE">
        <w:rPr>
          <w:rFonts w:cstheme="minorHAnsi"/>
          <w:sz w:val="21"/>
          <w:szCs w:val="21"/>
        </w:rPr>
        <w:t>programme</w:t>
      </w:r>
      <w:proofErr w:type="spellEnd"/>
      <w:r w:rsidR="00C424EE">
        <w:rPr>
          <w:rFonts w:cstheme="minorHAnsi"/>
          <w:sz w:val="21"/>
          <w:szCs w:val="21"/>
        </w:rPr>
        <w:t xml:space="preserve"> focused on climate resilient </w:t>
      </w:r>
      <w:r w:rsidR="00CF6621">
        <w:rPr>
          <w:rFonts w:cstheme="minorHAnsi"/>
          <w:sz w:val="21"/>
          <w:szCs w:val="21"/>
        </w:rPr>
        <w:t xml:space="preserve">health services in the EECCA region. </w:t>
      </w:r>
      <w:r w:rsidRPr="009D420B">
        <w:rPr>
          <w:rFonts w:cstheme="minorHAnsi"/>
          <w:sz w:val="21"/>
          <w:szCs w:val="21"/>
        </w:rPr>
        <w:t xml:space="preserve">He/she will coordinate, working via global </w:t>
      </w:r>
      <w:r w:rsidR="001D5079">
        <w:rPr>
          <w:rFonts w:cstheme="minorHAnsi"/>
          <w:sz w:val="21"/>
          <w:szCs w:val="21"/>
        </w:rPr>
        <w:t>,</w:t>
      </w:r>
      <w:r w:rsidRPr="009D420B">
        <w:rPr>
          <w:rFonts w:cstheme="minorHAnsi"/>
          <w:sz w:val="21"/>
          <w:szCs w:val="21"/>
        </w:rPr>
        <w:t xml:space="preserve"> region-based technical advisors</w:t>
      </w:r>
      <w:r w:rsidR="00CF6621">
        <w:rPr>
          <w:rFonts w:cstheme="minorHAnsi"/>
          <w:sz w:val="21"/>
          <w:szCs w:val="21"/>
        </w:rPr>
        <w:t xml:space="preserve"> </w:t>
      </w:r>
      <w:r w:rsidR="001D5079">
        <w:rPr>
          <w:rFonts w:cstheme="minorHAnsi"/>
          <w:sz w:val="21"/>
          <w:szCs w:val="21"/>
        </w:rPr>
        <w:t xml:space="preserve">and </w:t>
      </w:r>
      <w:r w:rsidR="00CF6621">
        <w:rPr>
          <w:rFonts w:cstheme="minorHAnsi"/>
          <w:sz w:val="21"/>
          <w:szCs w:val="21"/>
        </w:rPr>
        <w:t>across UNDP’s GPN</w:t>
      </w:r>
      <w:r w:rsidRPr="009D420B">
        <w:rPr>
          <w:rFonts w:cstheme="minorHAnsi"/>
          <w:sz w:val="21"/>
          <w:szCs w:val="21"/>
        </w:rPr>
        <w:t>.</w:t>
      </w:r>
      <w:r w:rsidRPr="00B40FB2" w:rsidDel="006E4CD1">
        <w:rPr>
          <w:rFonts w:cstheme="minorHAnsi"/>
          <w:sz w:val="21"/>
          <w:szCs w:val="21"/>
        </w:rPr>
        <w:t xml:space="preserve"> </w:t>
      </w:r>
      <w:r w:rsidR="00833341">
        <w:rPr>
          <w:rFonts w:cstheme="minorHAnsi"/>
          <w:sz w:val="21"/>
          <w:szCs w:val="21"/>
        </w:rPr>
        <w:t>The Consultant will also engage as relevant with the WHO</w:t>
      </w:r>
      <w:r w:rsidR="0002601E">
        <w:rPr>
          <w:rFonts w:cstheme="minorHAnsi"/>
          <w:sz w:val="21"/>
          <w:szCs w:val="21"/>
        </w:rPr>
        <w:t>/</w:t>
      </w:r>
      <w:r w:rsidR="00833341">
        <w:rPr>
          <w:rFonts w:cstheme="minorHAnsi"/>
          <w:sz w:val="21"/>
          <w:szCs w:val="21"/>
        </w:rPr>
        <w:t xml:space="preserve">Europe </w:t>
      </w:r>
      <w:r w:rsidR="0002601E">
        <w:rPr>
          <w:rFonts w:cstheme="minorHAnsi"/>
          <w:sz w:val="21"/>
          <w:szCs w:val="21"/>
        </w:rPr>
        <w:t xml:space="preserve">Secretariat of </w:t>
      </w:r>
      <w:r w:rsidR="00D345EC">
        <w:rPr>
          <w:rFonts w:cstheme="minorHAnsi"/>
          <w:sz w:val="21"/>
          <w:szCs w:val="21"/>
        </w:rPr>
        <w:t xml:space="preserve">the </w:t>
      </w:r>
      <w:r w:rsidR="00833341" w:rsidRPr="00833341">
        <w:rPr>
          <w:rFonts w:cstheme="minorHAnsi"/>
          <w:sz w:val="21"/>
          <w:szCs w:val="21"/>
        </w:rPr>
        <w:t>Working Group on Health in Climate Change (HIC) established under the mandate of the European Environment and Health Task Force.</w:t>
      </w:r>
    </w:p>
    <w:p w14:paraId="7A9C0B00" w14:textId="76BD6963" w:rsidR="00A02433" w:rsidRPr="008E130E" w:rsidRDefault="00A02433" w:rsidP="008E130E">
      <w:pPr>
        <w:pStyle w:val="ListParagraph"/>
        <w:numPr>
          <w:ilvl w:val="0"/>
          <w:numId w:val="38"/>
        </w:numPr>
        <w:spacing w:after="60"/>
        <w:rPr>
          <w:rFonts w:asciiTheme="minorHAnsi" w:hAnsiTheme="minorHAnsi" w:cstheme="minorHAnsi"/>
          <w:b/>
        </w:rPr>
      </w:pPr>
      <w:r w:rsidRPr="008E130E">
        <w:rPr>
          <w:rFonts w:asciiTheme="minorHAnsi" w:hAnsiTheme="minorHAnsi" w:cstheme="minorHAnsi"/>
          <w:b/>
        </w:rPr>
        <w:t xml:space="preserve">Scope </w:t>
      </w:r>
      <w:r w:rsidR="00D36222" w:rsidRPr="008E130E">
        <w:rPr>
          <w:rFonts w:asciiTheme="minorHAnsi" w:hAnsiTheme="minorHAnsi" w:cstheme="minorHAnsi"/>
          <w:b/>
        </w:rPr>
        <w:t xml:space="preserve">and objective </w:t>
      </w:r>
      <w:r w:rsidRPr="008E130E">
        <w:rPr>
          <w:rFonts w:asciiTheme="minorHAnsi" w:hAnsiTheme="minorHAnsi" w:cstheme="minorHAnsi"/>
          <w:b/>
        </w:rPr>
        <w:t>of the assignment:</w:t>
      </w:r>
    </w:p>
    <w:p w14:paraId="45B82D32" w14:textId="5D7C2A96" w:rsidR="005C0DB1" w:rsidRPr="003B0AB5" w:rsidRDefault="00B40FB2" w:rsidP="00981D02">
      <w:pPr>
        <w:pStyle w:val="BodyText"/>
        <w:spacing w:before="0" w:after="0" w:line="276" w:lineRule="auto"/>
        <w:rPr>
          <w:rFonts w:asciiTheme="minorHAnsi" w:eastAsiaTheme="minorHAnsi" w:hAnsiTheme="minorHAnsi" w:cstheme="minorHAnsi"/>
          <w:sz w:val="21"/>
          <w:szCs w:val="21"/>
        </w:rPr>
      </w:pPr>
      <w:r w:rsidRPr="003B0AB5">
        <w:rPr>
          <w:rFonts w:asciiTheme="minorHAnsi" w:eastAsiaTheme="minorHAnsi" w:hAnsiTheme="minorHAnsi" w:cstheme="minorHAnsi"/>
          <w:sz w:val="21"/>
          <w:szCs w:val="21"/>
        </w:rPr>
        <w:t>The Consultant</w:t>
      </w:r>
      <w:r w:rsidR="003B0AB5" w:rsidRPr="003B0AB5">
        <w:rPr>
          <w:rFonts w:asciiTheme="minorHAnsi" w:eastAsiaTheme="minorHAnsi" w:hAnsiTheme="minorHAnsi" w:cstheme="minorHAnsi"/>
          <w:sz w:val="21"/>
          <w:szCs w:val="21"/>
        </w:rPr>
        <w:t xml:space="preserve"> will lead </w:t>
      </w:r>
      <w:r w:rsidRPr="003B0AB5">
        <w:rPr>
          <w:rFonts w:asciiTheme="minorHAnsi" w:eastAsiaTheme="minorHAnsi" w:hAnsiTheme="minorHAnsi" w:cstheme="minorHAnsi"/>
          <w:sz w:val="21"/>
          <w:szCs w:val="21"/>
        </w:rPr>
        <w:t>the design and drafting of the concept note</w:t>
      </w:r>
      <w:r w:rsidR="00DA68FF">
        <w:rPr>
          <w:rFonts w:asciiTheme="minorHAnsi" w:eastAsiaTheme="minorHAnsi" w:hAnsiTheme="minorHAnsi" w:cstheme="minorHAnsi"/>
          <w:sz w:val="21"/>
          <w:szCs w:val="21"/>
        </w:rPr>
        <w:t>,</w:t>
      </w:r>
      <w:r w:rsidR="003B0AB5" w:rsidRPr="003B0AB5">
        <w:rPr>
          <w:rFonts w:asciiTheme="minorHAnsi" w:eastAsiaTheme="minorHAnsi" w:hAnsiTheme="minorHAnsi" w:cstheme="minorHAnsi"/>
          <w:sz w:val="21"/>
          <w:szCs w:val="21"/>
        </w:rPr>
        <w:t xml:space="preserve"> pre-feasibility study </w:t>
      </w:r>
      <w:r w:rsidR="00DA68FF">
        <w:rPr>
          <w:rFonts w:asciiTheme="minorHAnsi" w:eastAsiaTheme="minorHAnsi" w:hAnsiTheme="minorHAnsi" w:cstheme="minorHAnsi"/>
          <w:sz w:val="21"/>
          <w:szCs w:val="21"/>
        </w:rPr>
        <w:t xml:space="preserve">and a project preparation grant request </w:t>
      </w:r>
      <w:r w:rsidRPr="003B0AB5">
        <w:rPr>
          <w:rFonts w:asciiTheme="minorHAnsi" w:eastAsiaTheme="minorHAnsi" w:hAnsiTheme="minorHAnsi" w:cstheme="minorHAnsi"/>
          <w:sz w:val="21"/>
          <w:szCs w:val="21"/>
        </w:rPr>
        <w:t xml:space="preserve">for the </w:t>
      </w:r>
      <w:r w:rsidR="003B0AB5" w:rsidRPr="003B0AB5">
        <w:rPr>
          <w:rFonts w:asciiTheme="minorHAnsi" w:eastAsiaTheme="minorHAnsi" w:hAnsiTheme="minorHAnsi" w:cstheme="minorHAnsi"/>
          <w:sz w:val="21"/>
          <w:szCs w:val="21"/>
        </w:rPr>
        <w:t>regional</w:t>
      </w:r>
      <w:r w:rsidRPr="003B0AB5">
        <w:rPr>
          <w:rFonts w:asciiTheme="minorHAnsi" w:eastAsiaTheme="minorHAnsi" w:hAnsiTheme="minorHAnsi" w:cstheme="minorHAnsi"/>
          <w:sz w:val="21"/>
          <w:szCs w:val="21"/>
        </w:rPr>
        <w:t xml:space="preserve"> </w:t>
      </w:r>
      <w:proofErr w:type="spellStart"/>
      <w:r w:rsidR="003B0AB5" w:rsidRPr="003B0AB5">
        <w:rPr>
          <w:rFonts w:asciiTheme="minorHAnsi" w:eastAsiaTheme="minorHAnsi" w:hAnsiTheme="minorHAnsi" w:cstheme="minorHAnsi"/>
          <w:sz w:val="21"/>
          <w:szCs w:val="21"/>
        </w:rPr>
        <w:t>programme</w:t>
      </w:r>
      <w:proofErr w:type="spellEnd"/>
      <w:r w:rsidR="003B0AB5" w:rsidRPr="003B0AB5">
        <w:rPr>
          <w:rFonts w:asciiTheme="minorHAnsi" w:eastAsiaTheme="minorHAnsi" w:hAnsiTheme="minorHAnsi" w:cstheme="minorHAnsi"/>
          <w:sz w:val="21"/>
          <w:szCs w:val="21"/>
        </w:rPr>
        <w:t xml:space="preserve"> on climate and health</w:t>
      </w:r>
      <w:r w:rsidRPr="003B0AB5">
        <w:rPr>
          <w:rFonts w:asciiTheme="minorHAnsi" w:eastAsiaTheme="minorHAnsi" w:hAnsiTheme="minorHAnsi" w:cstheme="minorHAnsi"/>
          <w:sz w:val="21"/>
          <w:szCs w:val="21"/>
        </w:rPr>
        <w:t xml:space="preserve">, including coordinating inputs from </w:t>
      </w:r>
      <w:r w:rsidR="000E1D55">
        <w:rPr>
          <w:rFonts w:asciiTheme="minorHAnsi" w:eastAsiaTheme="minorHAnsi" w:hAnsiTheme="minorHAnsi" w:cstheme="minorHAnsi"/>
          <w:sz w:val="21"/>
          <w:szCs w:val="21"/>
        </w:rPr>
        <w:t xml:space="preserve">UNDP and WHO </w:t>
      </w:r>
      <w:r w:rsidRPr="003B0AB5">
        <w:rPr>
          <w:rFonts w:asciiTheme="minorHAnsi" w:eastAsiaTheme="minorHAnsi" w:hAnsiTheme="minorHAnsi" w:cstheme="minorHAnsi"/>
          <w:sz w:val="21"/>
          <w:szCs w:val="21"/>
        </w:rPr>
        <w:t>country office</w:t>
      </w:r>
      <w:r w:rsidR="003B0AB5" w:rsidRPr="003B0AB5">
        <w:rPr>
          <w:rFonts w:asciiTheme="minorHAnsi" w:eastAsiaTheme="minorHAnsi" w:hAnsiTheme="minorHAnsi" w:cstheme="minorHAnsi"/>
          <w:sz w:val="21"/>
          <w:szCs w:val="21"/>
        </w:rPr>
        <w:t>s</w:t>
      </w:r>
      <w:r w:rsidR="000E1D55">
        <w:rPr>
          <w:rFonts w:asciiTheme="minorHAnsi" w:eastAsiaTheme="minorHAnsi" w:hAnsiTheme="minorHAnsi" w:cstheme="minorHAnsi"/>
          <w:sz w:val="21"/>
          <w:szCs w:val="21"/>
        </w:rPr>
        <w:t xml:space="preserve"> and</w:t>
      </w:r>
      <w:r w:rsidRPr="003B0AB5">
        <w:rPr>
          <w:rFonts w:asciiTheme="minorHAnsi" w:eastAsiaTheme="minorHAnsi" w:hAnsiTheme="minorHAnsi" w:cstheme="minorHAnsi"/>
          <w:sz w:val="21"/>
          <w:szCs w:val="21"/>
        </w:rPr>
        <w:t xml:space="preserve"> </w:t>
      </w:r>
      <w:r w:rsidR="003B0AB5" w:rsidRPr="003B0AB5">
        <w:rPr>
          <w:rFonts w:asciiTheme="minorHAnsi" w:eastAsiaTheme="minorHAnsi" w:hAnsiTheme="minorHAnsi" w:cstheme="minorHAnsi"/>
          <w:sz w:val="21"/>
          <w:szCs w:val="21"/>
        </w:rPr>
        <w:t>technical teams. In doing so the Consultant will assist with formulation, refinement and negotiation of indicators for the G</w:t>
      </w:r>
      <w:r w:rsidR="00E41BC0">
        <w:rPr>
          <w:rFonts w:asciiTheme="minorHAnsi" w:eastAsiaTheme="minorHAnsi" w:hAnsiTheme="minorHAnsi" w:cstheme="minorHAnsi"/>
          <w:sz w:val="21"/>
          <w:szCs w:val="21"/>
        </w:rPr>
        <w:t>reen Climate Fund (G</w:t>
      </w:r>
      <w:r w:rsidR="003B0AB5" w:rsidRPr="003B0AB5">
        <w:rPr>
          <w:rFonts w:asciiTheme="minorHAnsi" w:eastAsiaTheme="minorHAnsi" w:hAnsiTheme="minorHAnsi" w:cstheme="minorHAnsi"/>
          <w:sz w:val="21"/>
          <w:szCs w:val="21"/>
        </w:rPr>
        <w:t>CF</w:t>
      </w:r>
      <w:r w:rsidR="00E41BC0">
        <w:rPr>
          <w:rFonts w:asciiTheme="minorHAnsi" w:eastAsiaTheme="minorHAnsi" w:hAnsiTheme="minorHAnsi" w:cstheme="minorHAnsi"/>
          <w:sz w:val="21"/>
          <w:szCs w:val="21"/>
        </w:rPr>
        <w:t>)</w:t>
      </w:r>
      <w:r w:rsidR="003B0AB5" w:rsidRPr="003B0AB5">
        <w:rPr>
          <w:rFonts w:asciiTheme="minorHAnsi" w:eastAsiaTheme="minorHAnsi" w:hAnsiTheme="minorHAnsi" w:cstheme="minorHAnsi"/>
          <w:sz w:val="21"/>
          <w:szCs w:val="21"/>
        </w:rPr>
        <w:t xml:space="preserve"> regional</w:t>
      </w:r>
      <w:r w:rsidR="003B0AB5">
        <w:rPr>
          <w:rFonts w:asciiTheme="minorHAnsi" w:eastAsiaTheme="minorHAnsi" w:hAnsiTheme="minorHAnsi" w:cstheme="minorHAnsi"/>
          <w:sz w:val="21"/>
          <w:szCs w:val="21"/>
        </w:rPr>
        <w:t xml:space="preserve"> </w:t>
      </w:r>
      <w:proofErr w:type="spellStart"/>
      <w:r w:rsidR="003B0AB5" w:rsidRPr="003B0AB5">
        <w:rPr>
          <w:rFonts w:asciiTheme="minorHAnsi" w:eastAsiaTheme="minorHAnsi" w:hAnsiTheme="minorHAnsi" w:cstheme="minorHAnsi"/>
          <w:sz w:val="21"/>
          <w:szCs w:val="21"/>
        </w:rPr>
        <w:t>programme</w:t>
      </w:r>
      <w:proofErr w:type="spellEnd"/>
      <w:r w:rsidR="003B0AB5" w:rsidRPr="003B0AB5">
        <w:rPr>
          <w:rFonts w:asciiTheme="minorHAnsi" w:eastAsiaTheme="minorHAnsi" w:hAnsiTheme="minorHAnsi" w:cstheme="minorHAnsi"/>
          <w:sz w:val="21"/>
          <w:szCs w:val="21"/>
        </w:rPr>
        <w:t>, benchmarks, co-finance agreements and work plans. In the course of the project development he/she will also interact with</w:t>
      </w:r>
      <w:r w:rsidR="00DA68FF">
        <w:rPr>
          <w:rFonts w:asciiTheme="minorHAnsi" w:eastAsiaTheme="minorHAnsi" w:hAnsiTheme="minorHAnsi" w:cstheme="minorHAnsi"/>
          <w:sz w:val="21"/>
          <w:szCs w:val="21"/>
        </w:rPr>
        <w:t xml:space="preserve"> UNDP and</w:t>
      </w:r>
      <w:r w:rsidR="003B0AB5" w:rsidRPr="003B0AB5">
        <w:rPr>
          <w:rFonts w:asciiTheme="minorHAnsi" w:eastAsiaTheme="minorHAnsi" w:hAnsiTheme="minorHAnsi" w:cstheme="minorHAnsi"/>
          <w:sz w:val="21"/>
          <w:szCs w:val="21"/>
        </w:rPr>
        <w:t xml:space="preserve"> WHO technical specialists to coordinate their inputs to the proposal design. </w:t>
      </w:r>
      <w:r w:rsidR="000E1D55">
        <w:rPr>
          <w:rFonts w:asciiTheme="minorHAnsi" w:eastAsiaTheme="minorHAnsi" w:hAnsiTheme="minorHAnsi" w:cstheme="minorHAnsi"/>
          <w:sz w:val="21"/>
          <w:szCs w:val="21"/>
        </w:rPr>
        <w:t xml:space="preserve">The Consultant will be supported by an international Health Baseline and Climate Vulnerability Analysis Specialist recruited by UNDP. </w:t>
      </w:r>
    </w:p>
    <w:p w14:paraId="76194DC5" w14:textId="77777777" w:rsidR="0080296B" w:rsidRPr="00981D02" w:rsidRDefault="0080296B" w:rsidP="00981D02">
      <w:pPr>
        <w:spacing w:after="0"/>
        <w:jc w:val="both"/>
        <w:rPr>
          <w:rFonts w:cstheme="minorHAnsi"/>
          <w:sz w:val="21"/>
          <w:szCs w:val="21"/>
        </w:rPr>
      </w:pPr>
    </w:p>
    <w:p w14:paraId="06F2046C" w14:textId="322A0A1D" w:rsidR="00875D6F" w:rsidRPr="00981D02" w:rsidRDefault="003B0AB5" w:rsidP="00981D02">
      <w:pPr>
        <w:spacing w:after="0"/>
        <w:jc w:val="both"/>
        <w:rPr>
          <w:rFonts w:cstheme="minorHAnsi"/>
          <w:sz w:val="21"/>
          <w:szCs w:val="21"/>
        </w:rPr>
      </w:pPr>
      <w:r w:rsidRPr="00981D02">
        <w:rPr>
          <w:rFonts w:cstheme="minorHAnsi"/>
          <w:sz w:val="21"/>
          <w:szCs w:val="21"/>
        </w:rPr>
        <w:t>Due to the COVID pandemic travel restrictions, t</w:t>
      </w:r>
      <w:r w:rsidR="00875D6F" w:rsidRPr="00981D02">
        <w:rPr>
          <w:rFonts w:cstheme="minorHAnsi"/>
          <w:sz w:val="21"/>
          <w:szCs w:val="21"/>
        </w:rPr>
        <w:t>he tasks associated with this Terms of Reference are expected to be completed through a combination of (a) home-based preparatory work; (</w:t>
      </w:r>
      <w:r w:rsidR="000458F5" w:rsidRPr="00981D02">
        <w:rPr>
          <w:rFonts w:cstheme="minorHAnsi"/>
          <w:sz w:val="21"/>
          <w:szCs w:val="21"/>
        </w:rPr>
        <w:t>b</w:t>
      </w:r>
      <w:r w:rsidR="00875D6F" w:rsidRPr="00981D02">
        <w:rPr>
          <w:rFonts w:cstheme="minorHAnsi"/>
          <w:sz w:val="21"/>
          <w:szCs w:val="21"/>
        </w:rPr>
        <w:t xml:space="preserve">) remote technical assistance to client countries and </w:t>
      </w:r>
      <w:r w:rsidR="00630ECE">
        <w:rPr>
          <w:rFonts w:cstheme="minorHAnsi"/>
          <w:sz w:val="21"/>
          <w:szCs w:val="21"/>
        </w:rPr>
        <w:t xml:space="preserve">with </w:t>
      </w:r>
      <w:r w:rsidR="00875D6F" w:rsidRPr="00981D02">
        <w:rPr>
          <w:rFonts w:cstheme="minorHAnsi"/>
          <w:sz w:val="21"/>
          <w:szCs w:val="21"/>
        </w:rPr>
        <w:t>UNDP</w:t>
      </w:r>
      <w:r w:rsidR="00630ECE">
        <w:rPr>
          <w:rFonts w:cstheme="minorHAnsi"/>
          <w:sz w:val="21"/>
          <w:szCs w:val="21"/>
        </w:rPr>
        <w:t xml:space="preserve"> </w:t>
      </w:r>
      <w:r w:rsidR="008E2F5F">
        <w:rPr>
          <w:rFonts w:cstheme="minorHAnsi"/>
          <w:sz w:val="21"/>
          <w:szCs w:val="21"/>
        </w:rPr>
        <w:t xml:space="preserve">and </w:t>
      </w:r>
      <w:r w:rsidR="00630ECE">
        <w:rPr>
          <w:rFonts w:cstheme="minorHAnsi"/>
          <w:sz w:val="21"/>
          <w:szCs w:val="21"/>
        </w:rPr>
        <w:t>WHO</w:t>
      </w:r>
      <w:r w:rsidR="00875D6F" w:rsidRPr="00981D02">
        <w:rPr>
          <w:rFonts w:cstheme="minorHAnsi"/>
          <w:sz w:val="21"/>
          <w:szCs w:val="21"/>
        </w:rPr>
        <w:t xml:space="preserve"> staff.</w:t>
      </w:r>
      <w:r w:rsidRPr="00981D02">
        <w:rPr>
          <w:rFonts w:cstheme="minorHAnsi"/>
          <w:sz w:val="21"/>
          <w:szCs w:val="21"/>
        </w:rPr>
        <w:t xml:space="preserve"> </w:t>
      </w:r>
    </w:p>
    <w:p w14:paraId="074BEDE4" w14:textId="77777777" w:rsidR="00875D6F" w:rsidRPr="00834D1A" w:rsidRDefault="00875D6F" w:rsidP="006E4CD1">
      <w:pPr>
        <w:spacing w:after="0" w:line="240" w:lineRule="auto"/>
        <w:jc w:val="both"/>
        <w:rPr>
          <w:rFonts w:cstheme="minorHAnsi"/>
          <w:color w:val="000000"/>
          <w:lang w:val="en-GB"/>
        </w:rPr>
      </w:pPr>
    </w:p>
    <w:p w14:paraId="7D55FC31" w14:textId="70275436" w:rsidR="00D36222" w:rsidRPr="008E130E" w:rsidRDefault="00D36222" w:rsidP="008E130E">
      <w:pPr>
        <w:pStyle w:val="ListParagraph"/>
        <w:numPr>
          <w:ilvl w:val="0"/>
          <w:numId w:val="38"/>
        </w:numPr>
        <w:spacing w:after="60"/>
        <w:rPr>
          <w:rFonts w:asciiTheme="minorHAnsi" w:hAnsiTheme="minorHAnsi" w:cstheme="minorHAnsi"/>
          <w:b/>
        </w:rPr>
      </w:pPr>
      <w:r w:rsidRPr="008E130E">
        <w:rPr>
          <w:rFonts w:asciiTheme="minorHAnsi" w:hAnsiTheme="minorHAnsi" w:cstheme="minorHAnsi"/>
          <w:b/>
        </w:rPr>
        <w:t>Tasks and deliverables</w:t>
      </w:r>
      <w:r w:rsidR="008E130E">
        <w:rPr>
          <w:rFonts w:asciiTheme="minorHAnsi" w:hAnsiTheme="minorHAnsi" w:cstheme="minorHAnsi"/>
          <w:b/>
        </w:rPr>
        <w:t>:</w:t>
      </w:r>
      <w:r w:rsidRPr="008E130E">
        <w:rPr>
          <w:rFonts w:asciiTheme="minorHAnsi" w:hAnsiTheme="minorHAnsi" w:cstheme="minorHAnsi"/>
          <w:b/>
        </w:rPr>
        <w:t xml:space="preserve"> </w:t>
      </w:r>
    </w:p>
    <w:p w14:paraId="3F27BA5D" w14:textId="4EF9D4E2" w:rsidR="00D36222" w:rsidRDefault="00D36222" w:rsidP="00D36222">
      <w:pPr>
        <w:spacing w:after="120" w:line="240" w:lineRule="auto"/>
        <w:jc w:val="both"/>
        <w:rPr>
          <w:rFonts w:cstheme="minorHAnsi"/>
        </w:rPr>
      </w:pPr>
      <w:r w:rsidRPr="006F338B">
        <w:rPr>
          <w:rFonts w:cstheme="minorHAnsi"/>
          <w:color w:val="000000"/>
          <w:lang w:val="en-GB"/>
        </w:rPr>
        <w:t>The Consultant will work under the overall guidance and supervision of the UNDP I</w:t>
      </w:r>
      <w:r>
        <w:rPr>
          <w:rFonts w:cstheme="minorHAnsi"/>
          <w:color w:val="000000"/>
          <w:lang w:val="en-GB"/>
        </w:rPr>
        <w:t>RH</w:t>
      </w:r>
      <w:r w:rsidRPr="006F338B">
        <w:rPr>
          <w:rFonts w:cstheme="minorHAnsi"/>
          <w:color w:val="000000"/>
          <w:lang w:val="en-GB"/>
        </w:rPr>
        <w:t xml:space="preserve"> Climate and DRR </w:t>
      </w:r>
      <w:r w:rsidR="007B3911">
        <w:rPr>
          <w:rFonts w:cstheme="minorHAnsi"/>
          <w:color w:val="000000"/>
          <w:lang w:val="en-GB"/>
        </w:rPr>
        <w:t xml:space="preserve">(CDT) </w:t>
      </w:r>
      <w:r>
        <w:rPr>
          <w:rFonts w:cstheme="minorHAnsi"/>
          <w:color w:val="000000"/>
          <w:lang w:val="en-GB"/>
        </w:rPr>
        <w:t xml:space="preserve">and Nature, Climate and Energy </w:t>
      </w:r>
      <w:r w:rsidR="007B3911">
        <w:rPr>
          <w:rFonts w:cstheme="minorHAnsi"/>
          <w:color w:val="000000"/>
          <w:lang w:val="en-GB"/>
        </w:rPr>
        <w:t xml:space="preserve">(NCE) </w:t>
      </w:r>
      <w:r>
        <w:rPr>
          <w:rFonts w:cstheme="minorHAnsi"/>
          <w:color w:val="000000"/>
          <w:lang w:val="en-GB"/>
        </w:rPr>
        <w:t>Teams</w:t>
      </w:r>
      <w:r w:rsidRPr="006F338B">
        <w:rPr>
          <w:rFonts w:cstheme="minorHAnsi"/>
          <w:color w:val="000000"/>
        </w:rPr>
        <w:t xml:space="preserve"> and </w:t>
      </w:r>
      <w:r w:rsidRPr="006F338B">
        <w:rPr>
          <w:rFonts w:cstheme="minorHAnsi"/>
          <w:color w:val="000000"/>
          <w:lang w:val="en-GB"/>
        </w:rPr>
        <w:t xml:space="preserve">will closely coordinate with </w:t>
      </w:r>
      <w:r w:rsidRPr="006F338B">
        <w:rPr>
          <w:rFonts w:cstheme="minorHAnsi"/>
          <w:color w:val="000000"/>
        </w:rPr>
        <w:t xml:space="preserve">the </w:t>
      </w:r>
      <w:bookmarkStart w:id="1" w:name="_Hlk68858557"/>
      <w:r w:rsidR="00630ECE">
        <w:rPr>
          <w:rFonts w:cstheme="minorHAnsi"/>
          <w:color w:val="000000"/>
        </w:rPr>
        <w:t>WHO</w:t>
      </w:r>
      <w:r w:rsidR="00630ECE" w:rsidRPr="006F338B">
        <w:rPr>
          <w:rFonts w:cstheme="minorHAnsi"/>
          <w:color w:val="000000"/>
        </w:rPr>
        <w:t xml:space="preserve"> </w:t>
      </w:r>
      <w:r w:rsidR="00D345EC">
        <w:rPr>
          <w:rFonts w:cstheme="minorHAnsi"/>
          <w:color w:val="000000"/>
        </w:rPr>
        <w:t xml:space="preserve">European </w:t>
      </w:r>
      <w:r w:rsidR="0002601E">
        <w:rPr>
          <w:rFonts w:cstheme="minorHAnsi"/>
          <w:color w:val="000000"/>
        </w:rPr>
        <w:t xml:space="preserve">Centre </w:t>
      </w:r>
      <w:r w:rsidR="00D345EC">
        <w:rPr>
          <w:rFonts w:cstheme="minorHAnsi"/>
          <w:color w:val="000000"/>
        </w:rPr>
        <w:t xml:space="preserve">on </w:t>
      </w:r>
      <w:r w:rsidR="0002601E">
        <w:rPr>
          <w:rFonts w:cstheme="minorHAnsi"/>
          <w:color w:val="000000"/>
        </w:rPr>
        <w:t xml:space="preserve">Environment and Health </w:t>
      </w:r>
      <w:r w:rsidR="00630ECE">
        <w:rPr>
          <w:rFonts w:cstheme="minorHAnsi"/>
          <w:color w:val="000000"/>
        </w:rPr>
        <w:t xml:space="preserve">and the </w:t>
      </w:r>
      <w:bookmarkEnd w:id="1"/>
      <w:r w:rsidRPr="006F338B">
        <w:rPr>
          <w:rFonts w:cstheme="minorHAnsi"/>
          <w:color w:val="000000"/>
        </w:rPr>
        <w:t xml:space="preserve">UNDP </w:t>
      </w:r>
      <w:r>
        <w:rPr>
          <w:rFonts w:cstheme="minorHAnsi"/>
          <w:color w:val="000000"/>
        </w:rPr>
        <w:t>Health Team</w:t>
      </w:r>
      <w:r w:rsidRPr="006F338B">
        <w:rPr>
          <w:rFonts w:cstheme="minorHAnsi"/>
          <w:color w:val="000000"/>
        </w:rPr>
        <w:t xml:space="preserve">. </w:t>
      </w:r>
      <w:r w:rsidR="00AC5E3F">
        <w:rPr>
          <w:rFonts w:cstheme="minorHAnsi"/>
        </w:rPr>
        <w:t xml:space="preserve">The following elements </w:t>
      </w:r>
      <w:r w:rsidR="00630ECE">
        <w:rPr>
          <w:rFonts w:cstheme="minorHAnsi"/>
        </w:rPr>
        <w:t xml:space="preserve">should </w:t>
      </w:r>
      <w:r w:rsidR="00AC5E3F">
        <w:rPr>
          <w:rFonts w:cstheme="minorHAnsi"/>
        </w:rPr>
        <w:t xml:space="preserve"> be covered in the regional </w:t>
      </w:r>
      <w:proofErr w:type="spellStart"/>
      <w:r w:rsidR="00AC5E3F">
        <w:rPr>
          <w:rFonts w:cstheme="minorHAnsi"/>
        </w:rPr>
        <w:t>programme</w:t>
      </w:r>
      <w:proofErr w:type="spellEnd"/>
      <w:r w:rsidR="00AC5E3F">
        <w:rPr>
          <w:rFonts w:cstheme="minorHAnsi"/>
        </w:rPr>
        <w:t xml:space="preserve"> concept note (CN) and pre-feasibility study (PFS):</w:t>
      </w:r>
    </w:p>
    <w:p w14:paraId="7A18A62D" w14:textId="2267CDEC" w:rsid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Pr>
          <w:rFonts w:asciiTheme="minorHAnsi" w:hAnsiTheme="minorHAnsi" w:cstheme="minorHAnsi"/>
          <w:sz w:val="22"/>
          <w:szCs w:val="22"/>
        </w:rPr>
        <w:t>Climate rationale based on the strong scientific evidence of current and future climate change impacts on health and health sector in EECCAA;</w:t>
      </w:r>
    </w:p>
    <w:p w14:paraId="03538D96" w14:textId="5E1AB639" w:rsid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Pr>
          <w:rFonts w:asciiTheme="minorHAnsi" w:hAnsiTheme="minorHAnsi" w:cstheme="minorHAnsi"/>
          <w:sz w:val="22"/>
          <w:szCs w:val="22"/>
        </w:rPr>
        <w:t>Alignment with GCF investment criteria;</w:t>
      </w:r>
    </w:p>
    <w:p w14:paraId="0DDFBECB" w14:textId="1D770572"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The rational for programmatic approach/regional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including:</w:t>
      </w:r>
    </w:p>
    <w:p w14:paraId="5BA718C8"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lastRenderedPageBreak/>
        <w:t>Defined common objective/synergy/interdependence, translated in a context specific and differentiated objectives for each sub-project</w:t>
      </w:r>
    </w:p>
    <w:p w14:paraId="346EA2D9"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Programmatic theory of change</w:t>
      </w:r>
    </w:p>
    <w:p w14:paraId="136A31C8"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Value-add of the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xml:space="preserve"> approach versus individual project approach (outcomes and benefits of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xml:space="preserve"> to exceed sum of its parts)</w:t>
      </w:r>
    </w:p>
    <w:p w14:paraId="6C047C0D"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Cost effectiveness and efficiency</w:t>
      </w:r>
    </w:p>
    <w:p w14:paraId="0317F9FC"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Greater likelihood of promoting paradigm shift</w:t>
      </w:r>
    </w:p>
    <w:p w14:paraId="49DDE461"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Additional benefits in terms of learning/knowledge</w:t>
      </w:r>
    </w:p>
    <w:p w14:paraId="608F410B"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Possible partnership at programmatic level</w:t>
      </w:r>
    </w:p>
    <w:p w14:paraId="70F02F78" w14:textId="0BECA949" w:rsidR="00981D02" w:rsidRDefault="00981D02" w:rsidP="0002601E">
      <w:pPr>
        <w:pStyle w:val="ListParagraph"/>
        <w:numPr>
          <w:ilvl w:val="0"/>
          <w:numId w:val="40"/>
        </w:numPr>
        <w:spacing w:before="0" w:after="160" w:line="259" w:lineRule="auto"/>
        <w:contextualSpacing/>
        <w:jc w:val="left"/>
        <w:rPr>
          <w:rFonts w:asciiTheme="minorHAnsi" w:hAnsiTheme="minorHAnsi" w:cstheme="minorHAnsi"/>
          <w:sz w:val="22"/>
          <w:szCs w:val="22"/>
        </w:rPr>
      </w:pPr>
      <w:r>
        <w:rPr>
          <w:rFonts w:asciiTheme="minorHAnsi" w:hAnsiTheme="minorHAnsi" w:cstheme="minorHAnsi"/>
          <w:sz w:val="22"/>
          <w:szCs w:val="22"/>
        </w:rPr>
        <w:t>Possibilities of private sector engagement</w:t>
      </w:r>
      <w:r w:rsidR="00630ECE">
        <w:rPr>
          <w:rFonts w:asciiTheme="minorHAnsi" w:hAnsiTheme="minorHAnsi" w:cstheme="minorHAnsi"/>
          <w:sz w:val="22"/>
          <w:szCs w:val="22"/>
        </w:rPr>
        <w:t xml:space="preserve"> </w:t>
      </w:r>
      <w:r w:rsidR="0002601E">
        <w:rPr>
          <w:rFonts w:asciiTheme="minorHAnsi" w:hAnsiTheme="minorHAnsi" w:cstheme="minorHAnsi"/>
          <w:sz w:val="22"/>
          <w:szCs w:val="22"/>
        </w:rPr>
        <w:t xml:space="preserve"> taking into consideration </w:t>
      </w:r>
      <w:r w:rsidR="004059CA">
        <w:rPr>
          <w:rFonts w:asciiTheme="minorHAnsi" w:hAnsiTheme="minorHAnsi" w:cstheme="minorHAnsi"/>
          <w:sz w:val="22"/>
          <w:szCs w:val="22"/>
        </w:rPr>
        <w:t xml:space="preserve">UNDP due diligence requirements and </w:t>
      </w:r>
      <w:r w:rsidR="0002601E">
        <w:rPr>
          <w:rFonts w:asciiTheme="minorHAnsi" w:hAnsiTheme="minorHAnsi" w:cstheme="minorHAnsi"/>
          <w:sz w:val="22"/>
          <w:szCs w:val="22"/>
        </w:rPr>
        <w:t xml:space="preserve">WHO </w:t>
      </w:r>
      <w:r w:rsidR="0002601E" w:rsidRPr="0002601E">
        <w:rPr>
          <w:rFonts w:asciiTheme="minorHAnsi" w:hAnsiTheme="minorHAnsi" w:cstheme="minorHAnsi"/>
          <w:sz w:val="22"/>
          <w:szCs w:val="22"/>
        </w:rPr>
        <w:t>Framework of engagement with non-State actors</w:t>
      </w:r>
      <w:r w:rsidR="0002601E">
        <w:rPr>
          <w:rFonts w:asciiTheme="minorHAnsi" w:hAnsiTheme="minorHAnsi" w:cstheme="minorHAnsi"/>
          <w:sz w:val="22"/>
          <w:szCs w:val="22"/>
        </w:rPr>
        <w:t>.</w:t>
      </w:r>
    </w:p>
    <w:p w14:paraId="2BE40B55" w14:textId="562F5582"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How the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xml:space="preserve"> is aligned with country/regional programming needs and priorities</w:t>
      </w:r>
    </w:p>
    <w:p w14:paraId="66939677" w14:textId="77777777"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Broad Implementation plan – Timeline for implementation of sub-projects</w:t>
      </w:r>
    </w:p>
    <w:p w14:paraId="47004439" w14:textId="77777777"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Eligibility criteria for countries to participate through sub-projects </w:t>
      </w:r>
    </w:p>
    <w:p w14:paraId="7046153F" w14:textId="77777777"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Participatory governance structure at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xml:space="preserve"> level</w:t>
      </w:r>
    </w:p>
    <w:p w14:paraId="1DD7FB27" w14:textId="77777777"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Programmatic level monitoring and reporting requirements </w:t>
      </w:r>
    </w:p>
    <w:p w14:paraId="2E47A5F7" w14:textId="2DFE29D6" w:rsidR="00AC5E3F" w:rsidRPr="00AC5E3F" w:rsidRDefault="00AC5E3F" w:rsidP="00AC5E3F">
      <w:pPr>
        <w:pStyle w:val="ListParagraph"/>
        <w:numPr>
          <w:ilvl w:val="0"/>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Description of sub-projects included in the regional </w:t>
      </w:r>
      <w:proofErr w:type="spellStart"/>
      <w:r w:rsidRPr="00AC5E3F">
        <w:rPr>
          <w:rFonts w:asciiTheme="minorHAnsi" w:hAnsiTheme="minorHAnsi" w:cstheme="minorHAnsi"/>
          <w:sz w:val="22"/>
          <w:szCs w:val="22"/>
        </w:rPr>
        <w:t>programme</w:t>
      </w:r>
      <w:proofErr w:type="spellEnd"/>
      <w:r w:rsidRPr="00AC5E3F">
        <w:rPr>
          <w:rFonts w:asciiTheme="minorHAnsi" w:hAnsiTheme="minorHAnsi" w:cstheme="minorHAnsi"/>
          <w:sz w:val="22"/>
          <w:szCs w:val="22"/>
        </w:rPr>
        <w:t xml:space="preserve">/project, including: </w:t>
      </w:r>
    </w:p>
    <w:p w14:paraId="36E0A294" w14:textId="0A97C306"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 xml:space="preserve">Rational to link with overarching rationale </w:t>
      </w:r>
    </w:p>
    <w:p w14:paraId="72D8ABE5"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Project Level description of activities and budgets</w:t>
      </w:r>
    </w:p>
    <w:p w14:paraId="7D477017"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Project Level monitoring and reporting</w:t>
      </w:r>
    </w:p>
    <w:p w14:paraId="58B85E86"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Project level co-financing arrangements</w:t>
      </w:r>
    </w:p>
    <w:p w14:paraId="340F10C6" w14:textId="77777777" w:rsidR="00AC5E3F" w:rsidRPr="00AC5E3F" w:rsidRDefault="00AC5E3F" w:rsidP="00AC5E3F">
      <w:pPr>
        <w:pStyle w:val="ListParagraph"/>
        <w:numPr>
          <w:ilvl w:val="1"/>
          <w:numId w:val="40"/>
        </w:numPr>
        <w:spacing w:before="0" w:after="160" w:line="259" w:lineRule="auto"/>
        <w:contextualSpacing/>
        <w:jc w:val="left"/>
        <w:rPr>
          <w:rFonts w:asciiTheme="minorHAnsi" w:hAnsiTheme="minorHAnsi" w:cstheme="minorHAnsi"/>
          <w:sz w:val="22"/>
          <w:szCs w:val="22"/>
        </w:rPr>
      </w:pPr>
      <w:r w:rsidRPr="00AC5E3F">
        <w:rPr>
          <w:rFonts w:asciiTheme="minorHAnsi" w:hAnsiTheme="minorHAnsi" w:cstheme="minorHAnsi"/>
          <w:sz w:val="22"/>
          <w:szCs w:val="22"/>
        </w:rPr>
        <w:t>Project level partnerships</w:t>
      </w:r>
    </w:p>
    <w:p w14:paraId="4AB102F3" w14:textId="3B4CE429" w:rsidR="00AC5E3F" w:rsidRPr="001D0176" w:rsidRDefault="00AC5E3F" w:rsidP="00AC5E3F">
      <w:pPr>
        <w:pStyle w:val="NormalWeb"/>
        <w:rPr>
          <w:rFonts w:asciiTheme="minorHAnsi" w:hAnsiTheme="minorHAnsi" w:cstheme="minorHAnsi"/>
          <w:sz w:val="22"/>
          <w:szCs w:val="22"/>
        </w:rPr>
      </w:pPr>
      <w:r w:rsidRPr="001D0176">
        <w:rPr>
          <w:rFonts w:asciiTheme="minorHAnsi" w:hAnsiTheme="minorHAnsi" w:cstheme="minorHAnsi"/>
          <w:sz w:val="22"/>
          <w:szCs w:val="22"/>
        </w:rPr>
        <w:t xml:space="preserve">The regional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xml:space="preserve">/project development needs to be informed with the updated </w:t>
      </w:r>
      <w:hyperlink r:id="rId11" w:tgtFrame="_blank" w:tooltip="Original URL: https://g.cf/progmanual. Click or tap if you trust this link." w:history="1">
        <w:r w:rsidRPr="001D0176">
          <w:rPr>
            <w:rStyle w:val="Hyperlink"/>
            <w:rFonts w:asciiTheme="minorHAnsi" w:hAnsiTheme="minorHAnsi" w:cstheme="minorHAnsi"/>
            <w:sz w:val="22"/>
            <w:szCs w:val="22"/>
          </w:rPr>
          <w:t>GCF Programming Manual</w:t>
        </w:r>
      </w:hyperlink>
      <w:r w:rsidRPr="001D0176">
        <w:rPr>
          <w:rFonts w:asciiTheme="minorHAnsi" w:hAnsiTheme="minorHAnsi" w:cstheme="minorHAnsi"/>
          <w:color w:val="000000"/>
          <w:sz w:val="22"/>
          <w:szCs w:val="22"/>
        </w:rPr>
        <w:t>.</w:t>
      </w:r>
    </w:p>
    <w:p w14:paraId="364C2BC4" w14:textId="5E6F9041" w:rsidR="00AC5E3F" w:rsidRPr="001D0176" w:rsidRDefault="00AC5E3F" w:rsidP="00981D02">
      <w:pPr>
        <w:spacing w:after="160" w:line="259" w:lineRule="auto"/>
        <w:contextualSpacing/>
        <w:jc w:val="both"/>
        <w:rPr>
          <w:rFonts w:cstheme="minorHAnsi"/>
        </w:rPr>
      </w:pPr>
      <w:r w:rsidRPr="001D0176">
        <w:rPr>
          <w:rFonts w:cstheme="minorHAnsi"/>
        </w:rPr>
        <w:t xml:space="preserve">The </w:t>
      </w:r>
      <w:r w:rsidR="006D05A5" w:rsidRPr="001D0176">
        <w:rPr>
          <w:rFonts w:cstheme="minorHAnsi"/>
        </w:rPr>
        <w:t xml:space="preserve">development of the </w:t>
      </w:r>
      <w:r w:rsidRPr="001D0176">
        <w:rPr>
          <w:rFonts w:cstheme="minorHAnsi"/>
        </w:rPr>
        <w:t xml:space="preserve">regional </w:t>
      </w:r>
      <w:proofErr w:type="spellStart"/>
      <w:r w:rsidRPr="001D0176">
        <w:rPr>
          <w:rFonts w:cstheme="minorHAnsi"/>
        </w:rPr>
        <w:t>programme</w:t>
      </w:r>
      <w:proofErr w:type="spellEnd"/>
      <w:r w:rsidRPr="001D0176">
        <w:rPr>
          <w:rFonts w:cstheme="minorHAnsi"/>
        </w:rPr>
        <w:t>/project w</w:t>
      </w:r>
      <w:r w:rsidR="006D05A5" w:rsidRPr="001D0176">
        <w:rPr>
          <w:rFonts w:cstheme="minorHAnsi"/>
        </w:rPr>
        <w:t xml:space="preserve">ill be coordinated and aligned with the COVID-19 recovery planning and will be aimed, </w:t>
      </w:r>
      <w:r w:rsidRPr="001D0176">
        <w:rPr>
          <w:rFonts w:cstheme="minorHAnsi"/>
          <w:color w:val="000000"/>
        </w:rPr>
        <w:t>above all</w:t>
      </w:r>
      <w:r w:rsidR="006D05A5" w:rsidRPr="001D0176">
        <w:rPr>
          <w:rFonts w:cstheme="minorHAnsi"/>
          <w:color w:val="000000"/>
        </w:rPr>
        <w:t xml:space="preserve">, at </w:t>
      </w:r>
      <w:r w:rsidRPr="001D0176">
        <w:rPr>
          <w:rFonts w:cstheme="minorHAnsi"/>
          <w:color w:val="000000"/>
        </w:rPr>
        <w:t>support</w:t>
      </w:r>
      <w:r w:rsidR="006D05A5" w:rsidRPr="001D0176">
        <w:rPr>
          <w:rFonts w:cstheme="minorHAnsi"/>
          <w:color w:val="000000"/>
        </w:rPr>
        <w:t>ing</w:t>
      </w:r>
      <w:r w:rsidRPr="001D0176">
        <w:rPr>
          <w:rFonts w:cstheme="minorHAnsi"/>
          <w:color w:val="000000"/>
        </w:rPr>
        <w:t xml:space="preserve"> the COVID-recovery efforts </w:t>
      </w:r>
      <w:r w:rsidR="006D05A5" w:rsidRPr="001D0176">
        <w:rPr>
          <w:rFonts w:cstheme="minorHAnsi"/>
          <w:color w:val="000000"/>
        </w:rPr>
        <w:t xml:space="preserve">and building resilience to future pandemics </w:t>
      </w:r>
      <w:r w:rsidRPr="001D0176">
        <w:rPr>
          <w:rFonts w:cstheme="minorHAnsi"/>
          <w:color w:val="000000"/>
        </w:rPr>
        <w:t>through the contribution to the resilience of the health systems</w:t>
      </w:r>
      <w:r w:rsidR="006D05A5" w:rsidRPr="001D0176">
        <w:rPr>
          <w:rFonts w:cstheme="minorHAnsi"/>
          <w:color w:val="000000"/>
        </w:rPr>
        <w:t xml:space="preserve"> in EECCA</w:t>
      </w:r>
      <w:r w:rsidRPr="001D0176">
        <w:rPr>
          <w:rFonts w:cstheme="minorHAnsi"/>
          <w:color w:val="000000"/>
        </w:rPr>
        <w:t>.</w:t>
      </w:r>
      <w:r w:rsidRPr="001D0176">
        <w:rPr>
          <w:rFonts w:cstheme="minorHAnsi"/>
        </w:rPr>
        <w:t xml:space="preserve"> </w:t>
      </w:r>
    </w:p>
    <w:p w14:paraId="78FE05F2" w14:textId="44370A2D" w:rsidR="006D05A5" w:rsidRPr="001D0176" w:rsidRDefault="006D05A5" w:rsidP="00AC5E3F">
      <w:pPr>
        <w:spacing w:after="160" w:line="259" w:lineRule="auto"/>
        <w:contextualSpacing/>
        <w:rPr>
          <w:rFonts w:cstheme="minorHAnsi"/>
        </w:rPr>
      </w:pPr>
    </w:p>
    <w:p w14:paraId="0E8E4488" w14:textId="307B0F2A" w:rsidR="006D05A5" w:rsidRPr="001D0176" w:rsidRDefault="006D05A5" w:rsidP="00AC5E3F">
      <w:pPr>
        <w:spacing w:after="160" w:line="259" w:lineRule="auto"/>
        <w:contextualSpacing/>
        <w:rPr>
          <w:rFonts w:cstheme="minorHAnsi"/>
        </w:rPr>
      </w:pPr>
      <w:r w:rsidRPr="001D0176">
        <w:rPr>
          <w:rFonts w:cstheme="minorHAnsi"/>
        </w:rPr>
        <w:t>The Consultant will:</w:t>
      </w:r>
    </w:p>
    <w:p w14:paraId="1CE6C4D9" w14:textId="0DA21CE0" w:rsidR="006D05A5" w:rsidRPr="001D0176" w:rsidRDefault="00F27FFC"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t xml:space="preserve">Review UNDP and WHO joint offer on climate change and health in EECCA, the draft </w:t>
      </w:r>
      <w:bookmarkStart w:id="2" w:name="_Hlk68858609"/>
      <w:r w:rsidR="00545966">
        <w:rPr>
          <w:rFonts w:asciiTheme="minorHAnsi" w:hAnsiTheme="minorHAnsi" w:cstheme="minorHAnsi"/>
          <w:sz w:val="22"/>
          <w:szCs w:val="22"/>
        </w:rPr>
        <w:t>joint multi country</w:t>
      </w:r>
      <w:bookmarkEnd w:id="2"/>
      <w:r w:rsidR="00545966">
        <w:rPr>
          <w:rFonts w:asciiTheme="minorHAnsi" w:hAnsiTheme="minorHAnsi" w:cstheme="minorHAnsi"/>
          <w:sz w:val="22"/>
          <w:szCs w:val="22"/>
        </w:rPr>
        <w:t xml:space="preserve">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xml:space="preserve"> Idea Note and the underlying analysis. Analyze the existing resources, literature and lessons learned </w:t>
      </w:r>
      <w:r w:rsidR="00D86CD2">
        <w:rPr>
          <w:rFonts w:asciiTheme="minorHAnsi" w:hAnsiTheme="minorHAnsi" w:cstheme="minorHAnsi"/>
          <w:sz w:val="22"/>
          <w:szCs w:val="22"/>
        </w:rPr>
        <w:t xml:space="preserve">from past and on-going projects </w:t>
      </w:r>
      <w:r w:rsidRPr="001D0176">
        <w:rPr>
          <w:rFonts w:asciiTheme="minorHAnsi" w:hAnsiTheme="minorHAnsi" w:cstheme="minorHAnsi"/>
          <w:sz w:val="22"/>
          <w:szCs w:val="22"/>
        </w:rPr>
        <w:t xml:space="preserve">on the climate change risks to human health and health sector in EECCAA and globally. Establish the data and information baseline for the regional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xml:space="preserve"> development.  </w:t>
      </w:r>
    </w:p>
    <w:p w14:paraId="583353A2" w14:textId="6FE75961" w:rsidR="00F27FFC" w:rsidRPr="001D0176" w:rsidRDefault="00F27FFC"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t xml:space="preserve">Analyze the evidence and data gaps and provide recommendations on the required additional studies to establish a robust evidence base and climate rationale for the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xml:space="preserve"> development.</w:t>
      </w:r>
    </w:p>
    <w:p w14:paraId="587B2608" w14:textId="0777AEC1" w:rsidR="00F27FFC" w:rsidRPr="001D0176" w:rsidRDefault="00F27FFC"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t xml:space="preserve">Conduct consultations with the UNDP </w:t>
      </w:r>
      <w:r w:rsidR="000E1D55">
        <w:rPr>
          <w:rFonts w:asciiTheme="minorHAnsi" w:hAnsiTheme="minorHAnsi" w:cstheme="minorHAnsi"/>
          <w:sz w:val="22"/>
          <w:szCs w:val="22"/>
        </w:rPr>
        <w:t xml:space="preserve">and WHO </w:t>
      </w:r>
      <w:r w:rsidRPr="001D0176">
        <w:rPr>
          <w:rFonts w:asciiTheme="minorHAnsi" w:hAnsiTheme="minorHAnsi" w:cstheme="minorHAnsi"/>
          <w:sz w:val="22"/>
          <w:szCs w:val="22"/>
        </w:rPr>
        <w:t xml:space="preserve">technical teams at the HQs, </w:t>
      </w:r>
      <w:r w:rsidR="000E1D55">
        <w:rPr>
          <w:rFonts w:asciiTheme="minorHAnsi" w:hAnsiTheme="minorHAnsi" w:cstheme="minorHAnsi"/>
          <w:sz w:val="22"/>
          <w:szCs w:val="22"/>
        </w:rPr>
        <w:t>Regional</w:t>
      </w:r>
      <w:r w:rsidRPr="001D0176">
        <w:rPr>
          <w:rFonts w:asciiTheme="minorHAnsi" w:hAnsiTheme="minorHAnsi" w:cstheme="minorHAnsi"/>
          <w:sz w:val="22"/>
          <w:szCs w:val="22"/>
        </w:rPr>
        <w:t xml:space="preserve"> and Country Offices levels. Regularly liaise with the network</w:t>
      </w:r>
      <w:r w:rsidR="00545966">
        <w:rPr>
          <w:rFonts w:asciiTheme="minorHAnsi" w:hAnsiTheme="minorHAnsi" w:cstheme="minorHAnsi"/>
          <w:sz w:val="22"/>
          <w:szCs w:val="22"/>
        </w:rPr>
        <w:t>s</w:t>
      </w:r>
      <w:r w:rsidRPr="001D0176">
        <w:rPr>
          <w:rFonts w:asciiTheme="minorHAnsi" w:hAnsiTheme="minorHAnsi" w:cstheme="minorHAnsi"/>
          <w:sz w:val="22"/>
          <w:szCs w:val="22"/>
        </w:rPr>
        <w:t xml:space="preserve"> of climate and health stakeholders at the </w:t>
      </w:r>
      <w:r w:rsidR="00545966">
        <w:rPr>
          <w:rFonts w:asciiTheme="minorHAnsi" w:hAnsiTheme="minorHAnsi" w:cstheme="minorHAnsi"/>
          <w:sz w:val="22"/>
          <w:szCs w:val="22"/>
        </w:rPr>
        <w:t xml:space="preserve">Regional and </w:t>
      </w:r>
      <w:r w:rsidRPr="001D0176">
        <w:rPr>
          <w:rFonts w:asciiTheme="minorHAnsi" w:hAnsiTheme="minorHAnsi" w:cstheme="minorHAnsi"/>
          <w:sz w:val="22"/>
          <w:szCs w:val="22"/>
        </w:rPr>
        <w:t>national level</w:t>
      </w:r>
      <w:r w:rsidR="00545966">
        <w:rPr>
          <w:rFonts w:asciiTheme="minorHAnsi" w:hAnsiTheme="minorHAnsi" w:cstheme="minorHAnsi"/>
          <w:sz w:val="22"/>
          <w:szCs w:val="22"/>
        </w:rPr>
        <w:t>s</w:t>
      </w:r>
      <w:r w:rsidRPr="001D0176">
        <w:rPr>
          <w:rFonts w:asciiTheme="minorHAnsi" w:hAnsiTheme="minorHAnsi" w:cstheme="minorHAnsi"/>
          <w:sz w:val="22"/>
          <w:szCs w:val="22"/>
        </w:rPr>
        <w:t>.</w:t>
      </w:r>
    </w:p>
    <w:p w14:paraId="51443368" w14:textId="77777777" w:rsidR="00F27FFC" w:rsidRPr="001D0176" w:rsidRDefault="00F27FFC"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t>Review, adjust and finalize the draft programmatic Idea Note, including confirmation from the participating countries.</w:t>
      </w:r>
    </w:p>
    <w:p w14:paraId="1BD0F0D4" w14:textId="79AF2D40" w:rsidR="001D0176" w:rsidRPr="001D0176" w:rsidRDefault="00F27FFC"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lastRenderedPageBreak/>
        <w:t xml:space="preserve">Lead the development of a pre-feasibility study for the regional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Advise UNDP on the re</w:t>
      </w:r>
      <w:r w:rsidR="001D0176" w:rsidRPr="001D0176">
        <w:rPr>
          <w:rFonts w:asciiTheme="minorHAnsi" w:hAnsiTheme="minorHAnsi" w:cstheme="minorHAnsi"/>
          <w:sz w:val="22"/>
          <w:szCs w:val="22"/>
        </w:rPr>
        <w:t>q</w:t>
      </w:r>
      <w:r w:rsidRPr="001D0176">
        <w:rPr>
          <w:rFonts w:asciiTheme="minorHAnsi" w:hAnsiTheme="minorHAnsi" w:cstheme="minorHAnsi"/>
          <w:sz w:val="22"/>
          <w:szCs w:val="22"/>
        </w:rPr>
        <w:t>uired technical inputs, coordinate with the national and international consultants and experts involved in the CN/PFS development</w:t>
      </w:r>
      <w:r w:rsidR="001D0176" w:rsidRPr="001D0176">
        <w:rPr>
          <w:rFonts w:asciiTheme="minorHAnsi" w:hAnsiTheme="minorHAnsi" w:cstheme="minorHAnsi"/>
          <w:sz w:val="22"/>
          <w:szCs w:val="22"/>
        </w:rPr>
        <w:t>, lead the technical consultations on the PFS development</w:t>
      </w:r>
      <w:r w:rsidRPr="001D0176">
        <w:rPr>
          <w:rFonts w:asciiTheme="minorHAnsi" w:hAnsiTheme="minorHAnsi" w:cstheme="minorHAnsi"/>
          <w:sz w:val="22"/>
          <w:szCs w:val="22"/>
        </w:rPr>
        <w:t>.</w:t>
      </w:r>
    </w:p>
    <w:p w14:paraId="38336DB8" w14:textId="19B9E6BA" w:rsidR="001D0176" w:rsidRDefault="001D0176" w:rsidP="006D05A5">
      <w:pPr>
        <w:pStyle w:val="ListParagraph"/>
        <w:numPr>
          <w:ilvl w:val="0"/>
          <w:numId w:val="41"/>
        </w:numPr>
        <w:spacing w:after="160" w:line="259" w:lineRule="auto"/>
        <w:contextualSpacing/>
        <w:rPr>
          <w:rFonts w:asciiTheme="minorHAnsi" w:hAnsiTheme="minorHAnsi" w:cstheme="minorHAnsi"/>
          <w:sz w:val="22"/>
          <w:szCs w:val="22"/>
        </w:rPr>
      </w:pPr>
      <w:r w:rsidRPr="001D0176">
        <w:rPr>
          <w:rFonts w:asciiTheme="minorHAnsi" w:hAnsiTheme="minorHAnsi" w:cstheme="minorHAnsi"/>
          <w:sz w:val="22"/>
          <w:szCs w:val="22"/>
        </w:rPr>
        <w:t xml:space="preserve">Develop regional </w:t>
      </w:r>
      <w:proofErr w:type="spellStart"/>
      <w:r w:rsidRPr="001D0176">
        <w:rPr>
          <w:rFonts w:asciiTheme="minorHAnsi" w:hAnsiTheme="minorHAnsi" w:cstheme="minorHAnsi"/>
          <w:sz w:val="22"/>
          <w:szCs w:val="22"/>
        </w:rPr>
        <w:t>programme</w:t>
      </w:r>
      <w:proofErr w:type="spellEnd"/>
      <w:r w:rsidRPr="001D0176">
        <w:rPr>
          <w:rFonts w:asciiTheme="minorHAnsi" w:hAnsiTheme="minorHAnsi" w:cstheme="minorHAnsi"/>
          <w:sz w:val="22"/>
          <w:szCs w:val="22"/>
        </w:rPr>
        <w:t xml:space="preserve"> concept note including description of the programmatic umbrella and national/country-based elements.</w:t>
      </w:r>
    </w:p>
    <w:p w14:paraId="1FFD2702" w14:textId="3B6A33A5" w:rsidR="00DA68FF" w:rsidRPr="001D0176" w:rsidRDefault="00DA68FF" w:rsidP="006D05A5">
      <w:pPr>
        <w:pStyle w:val="ListParagraph"/>
        <w:numPr>
          <w:ilvl w:val="0"/>
          <w:numId w:val="41"/>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 xml:space="preserve">Draft project preparation grant request in accordance with the GCF template and funding requirements. </w:t>
      </w:r>
    </w:p>
    <w:p w14:paraId="08242AEA" w14:textId="1DFE7DC8" w:rsidR="00AC5E3F" w:rsidRPr="007B3911" w:rsidRDefault="001D0176" w:rsidP="00B176DB">
      <w:pPr>
        <w:pStyle w:val="ListParagraph"/>
        <w:numPr>
          <w:ilvl w:val="0"/>
          <w:numId w:val="41"/>
        </w:numPr>
        <w:spacing w:after="120"/>
        <w:contextualSpacing/>
        <w:rPr>
          <w:rFonts w:cstheme="minorHAnsi"/>
        </w:rPr>
      </w:pPr>
      <w:r w:rsidRPr="007B3911">
        <w:rPr>
          <w:rFonts w:asciiTheme="minorHAnsi" w:hAnsiTheme="minorHAnsi" w:cstheme="minorHAnsi"/>
          <w:sz w:val="22"/>
          <w:szCs w:val="22"/>
        </w:rPr>
        <w:t>Support the process of technical reviews with UNDP</w:t>
      </w:r>
      <w:r w:rsidR="007B3911" w:rsidRPr="007B3911">
        <w:rPr>
          <w:rFonts w:asciiTheme="minorHAnsi" w:hAnsiTheme="minorHAnsi" w:cstheme="minorHAnsi"/>
          <w:sz w:val="22"/>
          <w:szCs w:val="22"/>
        </w:rPr>
        <w:t>,</w:t>
      </w:r>
      <w:r w:rsidRPr="007B3911">
        <w:rPr>
          <w:rFonts w:asciiTheme="minorHAnsi" w:hAnsiTheme="minorHAnsi" w:cstheme="minorHAnsi"/>
          <w:sz w:val="22"/>
          <w:szCs w:val="22"/>
        </w:rPr>
        <w:t xml:space="preserve"> WHO and GCF Secretariat, address comments on the CN/PFS as necessary. </w:t>
      </w:r>
      <w:r w:rsidR="00F27FFC" w:rsidRPr="007B3911">
        <w:rPr>
          <w:rFonts w:asciiTheme="minorHAnsi" w:hAnsiTheme="minorHAnsi" w:cstheme="minorHAnsi"/>
          <w:sz w:val="22"/>
          <w:szCs w:val="22"/>
        </w:rPr>
        <w:t xml:space="preserve">    </w:t>
      </w:r>
    </w:p>
    <w:p w14:paraId="66B8F0D0" w14:textId="22B970C3" w:rsidR="00D36222" w:rsidRPr="006F338B" w:rsidRDefault="00D36222" w:rsidP="00D36222">
      <w:pPr>
        <w:spacing w:after="120" w:line="240" w:lineRule="auto"/>
        <w:jc w:val="both"/>
        <w:rPr>
          <w:rFonts w:cstheme="minorHAnsi"/>
        </w:rPr>
      </w:pPr>
      <w:r w:rsidRPr="006F338B">
        <w:rPr>
          <w:rFonts w:cstheme="minorHAnsi"/>
        </w:rPr>
        <w:t xml:space="preserve">The specific deliverables are: </w:t>
      </w:r>
    </w:p>
    <w:tbl>
      <w:tblPr>
        <w:tblStyle w:val="TableGrid"/>
        <w:tblW w:w="0" w:type="auto"/>
        <w:tblLook w:val="04A0" w:firstRow="1" w:lastRow="0" w:firstColumn="1" w:lastColumn="0" w:noHBand="0" w:noVBand="1"/>
      </w:tblPr>
      <w:tblGrid>
        <w:gridCol w:w="6582"/>
        <w:gridCol w:w="1253"/>
        <w:gridCol w:w="1515"/>
      </w:tblGrid>
      <w:tr w:rsidR="00DB3B0E" w:rsidRPr="009D420B" w14:paraId="50B37452" w14:textId="631214BA" w:rsidTr="00D24541">
        <w:trPr>
          <w:trHeight w:val="287"/>
        </w:trPr>
        <w:tc>
          <w:tcPr>
            <w:tcW w:w="0" w:type="auto"/>
          </w:tcPr>
          <w:p w14:paraId="07684458" w14:textId="09D6CCB7" w:rsidR="00DB3B0E" w:rsidRPr="009D420B" w:rsidRDefault="00DB3B0E" w:rsidP="00B82E50">
            <w:pPr>
              <w:keepNext/>
              <w:jc w:val="both"/>
              <w:rPr>
                <w:rFonts w:cstheme="minorHAnsi"/>
                <w:b/>
              </w:rPr>
            </w:pPr>
            <w:r w:rsidRPr="009D420B">
              <w:rPr>
                <w:rFonts w:cstheme="minorHAnsi"/>
                <w:b/>
              </w:rPr>
              <w:t>Deliverable</w:t>
            </w:r>
          </w:p>
        </w:tc>
        <w:tc>
          <w:tcPr>
            <w:tcW w:w="0" w:type="auto"/>
          </w:tcPr>
          <w:p w14:paraId="46128CE1" w14:textId="107832AB" w:rsidR="00DB3B0E" w:rsidRPr="009D420B" w:rsidRDefault="00DB3B0E" w:rsidP="00B82E50">
            <w:pPr>
              <w:keepNext/>
              <w:jc w:val="both"/>
              <w:rPr>
                <w:rFonts w:cstheme="minorHAnsi"/>
                <w:b/>
              </w:rPr>
            </w:pPr>
            <w:r w:rsidRPr="009D420B">
              <w:rPr>
                <w:rFonts w:cstheme="minorHAnsi"/>
                <w:b/>
              </w:rPr>
              <w:t>Number of Days</w:t>
            </w:r>
          </w:p>
        </w:tc>
        <w:tc>
          <w:tcPr>
            <w:tcW w:w="0" w:type="auto"/>
          </w:tcPr>
          <w:p w14:paraId="47B200A2" w14:textId="6C033691" w:rsidR="00DB3B0E" w:rsidRPr="009D420B" w:rsidRDefault="00DB3B0E" w:rsidP="00B82E50">
            <w:pPr>
              <w:keepNext/>
              <w:jc w:val="both"/>
              <w:rPr>
                <w:rFonts w:cstheme="minorHAnsi"/>
                <w:b/>
              </w:rPr>
            </w:pPr>
            <w:r>
              <w:rPr>
                <w:rFonts w:cstheme="minorHAnsi"/>
                <w:b/>
              </w:rPr>
              <w:t>Timeframe</w:t>
            </w:r>
          </w:p>
        </w:tc>
      </w:tr>
      <w:tr w:rsidR="00DB3B0E" w:rsidRPr="009D420B" w14:paraId="011A31BE" w14:textId="12CF1142" w:rsidTr="00D24541">
        <w:trPr>
          <w:trHeight w:val="800"/>
        </w:trPr>
        <w:tc>
          <w:tcPr>
            <w:tcW w:w="0" w:type="auto"/>
          </w:tcPr>
          <w:p w14:paraId="11A908A0" w14:textId="510E6D74" w:rsidR="00DB3B0E" w:rsidRDefault="00DB3B0E" w:rsidP="00B82E50">
            <w:pPr>
              <w:keepNext/>
              <w:jc w:val="both"/>
              <w:rPr>
                <w:rFonts w:cstheme="minorHAnsi"/>
              </w:rPr>
            </w:pPr>
            <w:r>
              <w:rPr>
                <w:rFonts w:cstheme="minorHAnsi"/>
              </w:rPr>
              <w:t>GCF</w:t>
            </w:r>
            <w:r w:rsidRPr="009D420B">
              <w:rPr>
                <w:rFonts w:cstheme="minorHAnsi"/>
              </w:rPr>
              <w:t xml:space="preserve"> </w:t>
            </w:r>
            <w:r>
              <w:rPr>
                <w:rFonts w:cstheme="minorHAnsi"/>
              </w:rPr>
              <w:t>Regional</w:t>
            </w:r>
            <w:r w:rsidR="00545966">
              <w:rPr>
                <w:rFonts w:cstheme="minorHAnsi"/>
              </w:rPr>
              <w:t xml:space="preserve"> multi-country joint</w:t>
            </w:r>
            <w:r>
              <w:rPr>
                <w:rFonts w:cstheme="minorHAnsi"/>
              </w:rPr>
              <w:t xml:space="preserve"> </w:t>
            </w:r>
            <w:proofErr w:type="spellStart"/>
            <w:r w:rsidR="004E1F93">
              <w:rPr>
                <w:rFonts w:cstheme="minorHAnsi"/>
              </w:rPr>
              <w:t>P</w:t>
            </w:r>
            <w:r w:rsidRPr="009D420B">
              <w:rPr>
                <w:rFonts w:cstheme="minorHAnsi"/>
              </w:rPr>
              <w:t>ro</w:t>
            </w:r>
            <w:r>
              <w:rPr>
                <w:rFonts w:cstheme="minorHAnsi"/>
              </w:rPr>
              <w:t>gramme</w:t>
            </w:r>
            <w:proofErr w:type="spellEnd"/>
            <w:r>
              <w:rPr>
                <w:rFonts w:cstheme="minorHAnsi"/>
              </w:rPr>
              <w:t xml:space="preserve"> </w:t>
            </w:r>
            <w:r w:rsidR="004E1F93">
              <w:rPr>
                <w:rFonts w:cstheme="minorHAnsi"/>
              </w:rPr>
              <w:t>I</w:t>
            </w:r>
            <w:r>
              <w:rPr>
                <w:rFonts w:cstheme="minorHAnsi"/>
              </w:rPr>
              <w:t xml:space="preserve">dea </w:t>
            </w:r>
            <w:r w:rsidR="004E1F93">
              <w:rPr>
                <w:rFonts w:cstheme="minorHAnsi"/>
              </w:rPr>
              <w:t>N</w:t>
            </w:r>
            <w:r>
              <w:rPr>
                <w:rFonts w:cstheme="minorHAnsi"/>
              </w:rPr>
              <w:t>ote and recommendations for technical inputs/additional studies for the development of CN/PFS</w:t>
            </w:r>
            <w:r w:rsidR="00DA68FF">
              <w:rPr>
                <w:rFonts w:cstheme="minorHAnsi"/>
              </w:rPr>
              <w:t>;</w:t>
            </w:r>
          </w:p>
          <w:p w14:paraId="0F824CCD" w14:textId="0F36817E" w:rsidR="00DB3B0E" w:rsidRPr="00D24541" w:rsidRDefault="00DA68FF" w:rsidP="00B82E50">
            <w:pPr>
              <w:keepNext/>
              <w:jc w:val="both"/>
              <w:rPr>
                <w:rFonts w:cstheme="minorHAnsi"/>
              </w:rPr>
            </w:pPr>
            <w:r w:rsidRPr="00DA68FF">
              <w:rPr>
                <w:rFonts w:cstheme="minorHAnsi"/>
              </w:rPr>
              <w:t xml:space="preserve">Annotated outline of the </w:t>
            </w:r>
            <w:r>
              <w:rPr>
                <w:rFonts w:cstheme="minorHAnsi"/>
              </w:rPr>
              <w:t xml:space="preserve">Regional </w:t>
            </w:r>
            <w:r w:rsidR="00545966">
              <w:rPr>
                <w:rFonts w:cstheme="minorHAnsi"/>
              </w:rPr>
              <w:t xml:space="preserve">joint </w:t>
            </w:r>
            <w:proofErr w:type="spellStart"/>
            <w:r>
              <w:rPr>
                <w:rFonts w:cstheme="minorHAnsi"/>
              </w:rPr>
              <w:t>programme</w:t>
            </w:r>
            <w:proofErr w:type="spellEnd"/>
            <w:r>
              <w:rPr>
                <w:rFonts w:cstheme="minorHAnsi"/>
              </w:rPr>
              <w:t>/project prefeasibility study</w:t>
            </w:r>
          </w:p>
        </w:tc>
        <w:tc>
          <w:tcPr>
            <w:tcW w:w="0" w:type="auto"/>
          </w:tcPr>
          <w:p w14:paraId="223DAB4E" w14:textId="68959A7D" w:rsidR="00DB3B0E" w:rsidRPr="009D420B" w:rsidRDefault="007B3911" w:rsidP="00B82E50">
            <w:pPr>
              <w:jc w:val="both"/>
              <w:rPr>
                <w:rFonts w:cstheme="minorHAnsi"/>
              </w:rPr>
            </w:pPr>
            <w:r>
              <w:rPr>
                <w:rFonts w:cstheme="minorHAnsi"/>
              </w:rPr>
              <w:t>2</w:t>
            </w:r>
            <w:r w:rsidR="00DB3B0E">
              <w:rPr>
                <w:rFonts w:cstheme="minorHAnsi"/>
              </w:rPr>
              <w:t xml:space="preserve"> days</w:t>
            </w:r>
          </w:p>
          <w:p w14:paraId="14C9143D" w14:textId="77777777" w:rsidR="00DB3B0E" w:rsidRPr="009D420B" w:rsidRDefault="00DB3B0E" w:rsidP="00B82E50">
            <w:pPr>
              <w:keepNext/>
              <w:jc w:val="both"/>
              <w:rPr>
                <w:rFonts w:cstheme="minorHAnsi"/>
                <w:b/>
              </w:rPr>
            </w:pPr>
          </w:p>
        </w:tc>
        <w:tc>
          <w:tcPr>
            <w:tcW w:w="0" w:type="auto"/>
          </w:tcPr>
          <w:p w14:paraId="2CD5D29E" w14:textId="337C0450" w:rsidR="00DB3B0E" w:rsidRDefault="007B3911" w:rsidP="00B82E50">
            <w:pPr>
              <w:jc w:val="both"/>
              <w:rPr>
                <w:rFonts w:cstheme="minorHAnsi"/>
              </w:rPr>
            </w:pPr>
            <w:r>
              <w:rPr>
                <w:rFonts w:cstheme="minorHAnsi"/>
              </w:rPr>
              <w:t>15 May</w:t>
            </w:r>
            <w:r w:rsidR="00DB3B0E">
              <w:rPr>
                <w:rFonts w:cstheme="minorHAnsi"/>
              </w:rPr>
              <w:t xml:space="preserve"> 202</w:t>
            </w:r>
            <w:r>
              <w:rPr>
                <w:rFonts w:cstheme="minorHAnsi"/>
              </w:rPr>
              <w:t>1</w:t>
            </w:r>
          </w:p>
        </w:tc>
      </w:tr>
      <w:tr w:rsidR="004E1F93" w:rsidRPr="009D420B" w14:paraId="22A7B55D" w14:textId="21FDAF5F" w:rsidTr="00D24541">
        <w:trPr>
          <w:trHeight w:val="178"/>
        </w:trPr>
        <w:tc>
          <w:tcPr>
            <w:tcW w:w="0" w:type="auto"/>
          </w:tcPr>
          <w:p w14:paraId="33B74582" w14:textId="6A2A8328" w:rsidR="004E1F93" w:rsidRDefault="004E1F93" w:rsidP="00DB3B0E">
            <w:pPr>
              <w:jc w:val="both"/>
              <w:rPr>
                <w:rFonts w:cstheme="minorHAnsi"/>
              </w:rPr>
            </w:pPr>
            <w:bookmarkStart w:id="3" w:name="_Hlk51943185"/>
            <w:r>
              <w:rPr>
                <w:rFonts w:cstheme="minorHAnsi"/>
              </w:rPr>
              <w:t xml:space="preserve">Draft Regional </w:t>
            </w:r>
            <w:r w:rsidR="00545966" w:rsidRPr="00545966">
              <w:rPr>
                <w:rFonts w:cstheme="minorHAnsi"/>
              </w:rPr>
              <w:t xml:space="preserve">multi-country joint </w:t>
            </w:r>
            <w:proofErr w:type="spellStart"/>
            <w:r w:rsidR="000E1D55">
              <w:rPr>
                <w:rFonts w:cstheme="minorHAnsi"/>
              </w:rPr>
              <w:t>P</w:t>
            </w:r>
            <w:r>
              <w:rPr>
                <w:rFonts w:cstheme="minorHAnsi"/>
              </w:rPr>
              <w:t>rogramme</w:t>
            </w:r>
            <w:proofErr w:type="spellEnd"/>
            <w:r>
              <w:rPr>
                <w:rFonts w:cstheme="minorHAnsi"/>
              </w:rPr>
              <w:t xml:space="preserve"> pre-feasibility study</w:t>
            </w:r>
          </w:p>
        </w:tc>
        <w:tc>
          <w:tcPr>
            <w:tcW w:w="0" w:type="auto"/>
          </w:tcPr>
          <w:p w14:paraId="18F24E04" w14:textId="7FA66D66" w:rsidR="004E1F93" w:rsidRDefault="004E1F93" w:rsidP="00B82E50">
            <w:pPr>
              <w:jc w:val="both"/>
              <w:rPr>
                <w:rFonts w:cstheme="minorHAnsi"/>
              </w:rPr>
            </w:pPr>
            <w:r>
              <w:rPr>
                <w:rFonts w:cstheme="minorHAnsi"/>
              </w:rPr>
              <w:t>10 days</w:t>
            </w:r>
          </w:p>
        </w:tc>
        <w:tc>
          <w:tcPr>
            <w:tcW w:w="0" w:type="auto"/>
            <w:vMerge w:val="restart"/>
          </w:tcPr>
          <w:p w14:paraId="1C3D9D4A" w14:textId="4B8786FA" w:rsidR="004E1F93" w:rsidRDefault="004E1F93" w:rsidP="00981B24">
            <w:pPr>
              <w:jc w:val="both"/>
              <w:rPr>
                <w:rFonts w:cstheme="minorHAnsi"/>
              </w:rPr>
            </w:pPr>
            <w:r>
              <w:rPr>
                <w:rFonts w:cstheme="minorHAnsi"/>
              </w:rPr>
              <w:t>31 July 2021</w:t>
            </w:r>
          </w:p>
        </w:tc>
      </w:tr>
      <w:tr w:rsidR="004E1F93" w:rsidRPr="009D420B" w14:paraId="31E6B1BC" w14:textId="77777777" w:rsidTr="00D24541">
        <w:trPr>
          <w:trHeight w:val="64"/>
        </w:trPr>
        <w:tc>
          <w:tcPr>
            <w:tcW w:w="0" w:type="auto"/>
          </w:tcPr>
          <w:p w14:paraId="23A442B1" w14:textId="05CF4651" w:rsidR="004E1F93" w:rsidRPr="00D24541" w:rsidRDefault="004E1F93" w:rsidP="00D24541">
            <w:pPr>
              <w:jc w:val="both"/>
              <w:rPr>
                <w:rFonts w:cstheme="minorHAnsi"/>
              </w:rPr>
            </w:pPr>
            <w:r>
              <w:rPr>
                <w:rFonts w:cstheme="minorHAnsi"/>
              </w:rPr>
              <w:t xml:space="preserve">Draft Regional </w:t>
            </w:r>
            <w:r w:rsidR="00545966" w:rsidRPr="00545966">
              <w:rPr>
                <w:rFonts w:cstheme="minorHAnsi"/>
              </w:rPr>
              <w:t xml:space="preserve">multi-country joint </w:t>
            </w:r>
            <w:proofErr w:type="spellStart"/>
            <w:r>
              <w:rPr>
                <w:rFonts w:cstheme="minorHAnsi"/>
              </w:rPr>
              <w:t>Programme</w:t>
            </w:r>
            <w:proofErr w:type="spellEnd"/>
            <w:r>
              <w:rPr>
                <w:rFonts w:cstheme="minorHAnsi"/>
              </w:rPr>
              <w:t xml:space="preserve"> concept note</w:t>
            </w:r>
          </w:p>
        </w:tc>
        <w:tc>
          <w:tcPr>
            <w:tcW w:w="0" w:type="auto"/>
          </w:tcPr>
          <w:p w14:paraId="4E9FB0C5" w14:textId="73253806" w:rsidR="004E1F93" w:rsidRPr="00D24541" w:rsidRDefault="004E1F93" w:rsidP="00D24541">
            <w:pPr>
              <w:jc w:val="both"/>
              <w:rPr>
                <w:rFonts w:cstheme="minorHAnsi"/>
              </w:rPr>
            </w:pPr>
            <w:r>
              <w:rPr>
                <w:rFonts w:cstheme="minorHAnsi"/>
              </w:rPr>
              <w:t>5 days</w:t>
            </w:r>
          </w:p>
        </w:tc>
        <w:tc>
          <w:tcPr>
            <w:tcW w:w="0" w:type="auto"/>
            <w:vMerge/>
          </w:tcPr>
          <w:p w14:paraId="5F4D41EB" w14:textId="487E67BB" w:rsidR="004E1F93" w:rsidRDefault="004E1F93" w:rsidP="00981B24">
            <w:pPr>
              <w:jc w:val="both"/>
              <w:rPr>
                <w:rFonts w:cstheme="minorHAnsi"/>
              </w:rPr>
            </w:pPr>
          </w:p>
        </w:tc>
      </w:tr>
      <w:tr w:rsidR="004E1F93" w:rsidRPr="009D420B" w14:paraId="335EDBC9" w14:textId="77777777" w:rsidTr="00D24541">
        <w:trPr>
          <w:trHeight w:val="186"/>
        </w:trPr>
        <w:tc>
          <w:tcPr>
            <w:tcW w:w="0" w:type="auto"/>
          </w:tcPr>
          <w:p w14:paraId="7E9F725D" w14:textId="4362AEF9" w:rsidR="004E1F93" w:rsidRDefault="004E1F93" w:rsidP="00074AC8">
            <w:pPr>
              <w:jc w:val="both"/>
              <w:rPr>
                <w:rFonts w:cstheme="minorHAnsi"/>
              </w:rPr>
            </w:pPr>
            <w:r>
              <w:rPr>
                <w:rFonts w:cstheme="minorHAnsi"/>
              </w:rPr>
              <w:t xml:space="preserve">Final Regional </w:t>
            </w:r>
            <w:r w:rsidR="00545966" w:rsidRPr="00545966">
              <w:rPr>
                <w:rFonts w:cstheme="minorHAnsi"/>
              </w:rPr>
              <w:t xml:space="preserve">multi-country joint </w:t>
            </w:r>
            <w:proofErr w:type="spellStart"/>
            <w:r>
              <w:rPr>
                <w:rFonts w:cstheme="minorHAnsi"/>
              </w:rPr>
              <w:t>programme</w:t>
            </w:r>
            <w:proofErr w:type="spellEnd"/>
            <w:r>
              <w:rPr>
                <w:rFonts w:cstheme="minorHAnsi"/>
              </w:rPr>
              <w:t xml:space="preserve"> pre-feasibility study, including preliminary design of national/country-based elements</w:t>
            </w:r>
          </w:p>
        </w:tc>
        <w:tc>
          <w:tcPr>
            <w:tcW w:w="0" w:type="auto"/>
          </w:tcPr>
          <w:p w14:paraId="45F35711" w14:textId="102D08C3" w:rsidR="004E1F93" w:rsidRDefault="004E1F93" w:rsidP="00074AC8">
            <w:pPr>
              <w:jc w:val="both"/>
              <w:rPr>
                <w:rFonts w:cstheme="minorHAnsi"/>
              </w:rPr>
            </w:pPr>
            <w:r>
              <w:rPr>
                <w:rFonts w:cstheme="minorHAnsi"/>
              </w:rPr>
              <w:t>5 days</w:t>
            </w:r>
          </w:p>
        </w:tc>
        <w:tc>
          <w:tcPr>
            <w:tcW w:w="0" w:type="auto"/>
            <w:vMerge w:val="restart"/>
          </w:tcPr>
          <w:p w14:paraId="235FF5A1" w14:textId="4CCBBE92" w:rsidR="004E1F93" w:rsidRDefault="004E1F93" w:rsidP="00074AC8">
            <w:pPr>
              <w:jc w:val="both"/>
              <w:rPr>
                <w:rFonts w:cstheme="minorHAnsi"/>
              </w:rPr>
            </w:pPr>
            <w:r>
              <w:rPr>
                <w:rFonts w:cstheme="minorHAnsi"/>
              </w:rPr>
              <w:t>30 September 2021</w:t>
            </w:r>
          </w:p>
        </w:tc>
      </w:tr>
      <w:tr w:rsidR="004E1F93" w:rsidRPr="009D420B" w14:paraId="0B0B67A0" w14:textId="02C7E831" w:rsidTr="00D24541">
        <w:trPr>
          <w:trHeight w:val="64"/>
        </w:trPr>
        <w:tc>
          <w:tcPr>
            <w:tcW w:w="0" w:type="auto"/>
          </w:tcPr>
          <w:p w14:paraId="3AB36DD7" w14:textId="6273684D" w:rsidR="004E1F93" w:rsidRPr="00D24541" w:rsidRDefault="004E1F93" w:rsidP="00D24541">
            <w:pPr>
              <w:jc w:val="both"/>
              <w:rPr>
                <w:rFonts w:cstheme="minorHAnsi"/>
              </w:rPr>
            </w:pPr>
            <w:r>
              <w:rPr>
                <w:rFonts w:cstheme="minorHAnsi"/>
              </w:rPr>
              <w:t xml:space="preserve">Final Regional </w:t>
            </w:r>
            <w:r w:rsidR="00545966" w:rsidRPr="00545966">
              <w:rPr>
                <w:rFonts w:cstheme="minorHAnsi"/>
              </w:rPr>
              <w:t xml:space="preserve">multi-country joint </w:t>
            </w:r>
            <w:proofErr w:type="spellStart"/>
            <w:r>
              <w:rPr>
                <w:rFonts w:cstheme="minorHAnsi"/>
              </w:rPr>
              <w:t>programme</w:t>
            </w:r>
            <w:proofErr w:type="spellEnd"/>
            <w:r>
              <w:rPr>
                <w:rFonts w:cstheme="minorHAnsi"/>
              </w:rPr>
              <w:t xml:space="preserve"> concept note</w:t>
            </w:r>
          </w:p>
        </w:tc>
        <w:tc>
          <w:tcPr>
            <w:tcW w:w="0" w:type="auto"/>
          </w:tcPr>
          <w:p w14:paraId="1089A1A8" w14:textId="744D98DE" w:rsidR="004E1F93" w:rsidRPr="00D24541" w:rsidRDefault="004E1F93" w:rsidP="00D24541">
            <w:pPr>
              <w:jc w:val="both"/>
              <w:rPr>
                <w:rFonts w:cstheme="minorHAnsi"/>
              </w:rPr>
            </w:pPr>
            <w:r>
              <w:rPr>
                <w:rFonts w:cstheme="minorHAnsi"/>
              </w:rPr>
              <w:t>2 days</w:t>
            </w:r>
          </w:p>
        </w:tc>
        <w:tc>
          <w:tcPr>
            <w:tcW w:w="0" w:type="auto"/>
            <w:vMerge/>
          </w:tcPr>
          <w:p w14:paraId="4A235E24" w14:textId="2AB47CCA" w:rsidR="004E1F93" w:rsidRDefault="004E1F93" w:rsidP="00B82E50">
            <w:pPr>
              <w:jc w:val="both"/>
              <w:rPr>
                <w:rFonts w:cstheme="minorHAnsi"/>
              </w:rPr>
            </w:pPr>
          </w:p>
        </w:tc>
      </w:tr>
      <w:tr w:rsidR="004E1F93" w:rsidRPr="009D420B" w14:paraId="0AFB668F" w14:textId="77777777" w:rsidTr="00D24541">
        <w:trPr>
          <w:trHeight w:val="64"/>
        </w:trPr>
        <w:tc>
          <w:tcPr>
            <w:tcW w:w="0" w:type="auto"/>
          </w:tcPr>
          <w:p w14:paraId="40928402" w14:textId="457A1A29" w:rsidR="004E1F93" w:rsidRDefault="004E1F93" w:rsidP="00B82E50">
            <w:pPr>
              <w:jc w:val="both"/>
              <w:rPr>
                <w:rFonts w:cstheme="minorHAnsi"/>
              </w:rPr>
            </w:pPr>
            <w:r>
              <w:rPr>
                <w:rFonts w:cstheme="minorHAnsi"/>
              </w:rPr>
              <w:t>GCF project preparation grant request</w:t>
            </w:r>
          </w:p>
        </w:tc>
        <w:tc>
          <w:tcPr>
            <w:tcW w:w="0" w:type="auto"/>
          </w:tcPr>
          <w:p w14:paraId="4FDF2654" w14:textId="1EF7F7F6" w:rsidR="004E1F93" w:rsidRDefault="004E1F93" w:rsidP="00B82E50">
            <w:pPr>
              <w:jc w:val="both"/>
              <w:rPr>
                <w:rFonts w:cstheme="minorHAnsi"/>
              </w:rPr>
            </w:pPr>
          </w:p>
        </w:tc>
        <w:tc>
          <w:tcPr>
            <w:tcW w:w="0" w:type="auto"/>
            <w:vMerge/>
          </w:tcPr>
          <w:p w14:paraId="3ECE4A0B" w14:textId="681F9730" w:rsidR="004E1F93" w:rsidRDefault="004E1F93" w:rsidP="00B82E50">
            <w:pPr>
              <w:jc w:val="both"/>
              <w:rPr>
                <w:rFonts w:cstheme="minorHAnsi"/>
              </w:rPr>
            </w:pPr>
          </w:p>
        </w:tc>
      </w:tr>
      <w:tr w:rsidR="00EC0A65" w:rsidRPr="009D420B" w14:paraId="7C8BF130" w14:textId="77777777" w:rsidTr="00D24541">
        <w:trPr>
          <w:trHeight w:val="64"/>
        </w:trPr>
        <w:tc>
          <w:tcPr>
            <w:tcW w:w="0" w:type="auto"/>
          </w:tcPr>
          <w:p w14:paraId="16C759AB" w14:textId="2B068BA7" w:rsidR="00EC0A65" w:rsidRDefault="00EC0A65" w:rsidP="00B82E50">
            <w:pPr>
              <w:jc w:val="both"/>
              <w:rPr>
                <w:rFonts w:cstheme="minorHAnsi"/>
              </w:rPr>
            </w:pPr>
            <w:r>
              <w:rPr>
                <w:rFonts w:cstheme="minorHAnsi"/>
              </w:rPr>
              <w:t>Responses to reviews/comments from UNDP</w:t>
            </w:r>
            <w:r w:rsidR="00545966">
              <w:rPr>
                <w:rFonts w:cstheme="minorHAnsi"/>
              </w:rPr>
              <w:t>, WHO</w:t>
            </w:r>
            <w:r>
              <w:rPr>
                <w:rFonts w:cstheme="minorHAnsi"/>
              </w:rPr>
              <w:t xml:space="preserve"> and GCF</w:t>
            </w:r>
          </w:p>
        </w:tc>
        <w:tc>
          <w:tcPr>
            <w:tcW w:w="0" w:type="auto"/>
          </w:tcPr>
          <w:p w14:paraId="78C7AD50" w14:textId="4C04F333" w:rsidR="00EC0A65" w:rsidRDefault="007B3911" w:rsidP="00B82E50">
            <w:pPr>
              <w:jc w:val="both"/>
              <w:rPr>
                <w:rFonts w:cstheme="minorHAnsi"/>
              </w:rPr>
            </w:pPr>
            <w:r>
              <w:rPr>
                <w:rFonts w:cstheme="minorHAnsi"/>
              </w:rPr>
              <w:t>3</w:t>
            </w:r>
            <w:r w:rsidR="00EC0A65">
              <w:rPr>
                <w:rFonts w:cstheme="minorHAnsi"/>
              </w:rPr>
              <w:t xml:space="preserve"> days</w:t>
            </w:r>
          </w:p>
        </w:tc>
        <w:tc>
          <w:tcPr>
            <w:tcW w:w="0" w:type="auto"/>
          </w:tcPr>
          <w:p w14:paraId="1F50DF1C" w14:textId="1441250F" w:rsidR="00EC0A65" w:rsidRDefault="00EC0A65" w:rsidP="00B82E50">
            <w:pPr>
              <w:jc w:val="both"/>
              <w:rPr>
                <w:rFonts w:cstheme="minorHAnsi"/>
              </w:rPr>
            </w:pPr>
            <w:r>
              <w:rPr>
                <w:rFonts w:cstheme="minorHAnsi"/>
              </w:rPr>
              <w:t>3</w:t>
            </w:r>
            <w:r w:rsidR="00B676FE">
              <w:rPr>
                <w:rFonts w:cstheme="minorHAnsi"/>
              </w:rPr>
              <w:t>1</w:t>
            </w:r>
            <w:r>
              <w:rPr>
                <w:rFonts w:cstheme="minorHAnsi"/>
              </w:rPr>
              <w:t xml:space="preserve"> </w:t>
            </w:r>
            <w:r w:rsidR="00DA68FF">
              <w:rPr>
                <w:rFonts w:cstheme="minorHAnsi"/>
              </w:rPr>
              <w:t>October</w:t>
            </w:r>
            <w:r>
              <w:rPr>
                <w:rFonts w:cstheme="minorHAnsi"/>
              </w:rPr>
              <w:t xml:space="preserve"> 2021</w:t>
            </w:r>
          </w:p>
        </w:tc>
      </w:tr>
      <w:bookmarkEnd w:id="3"/>
      <w:tr w:rsidR="00DB3B0E" w:rsidRPr="009D420B" w14:paraId="2248713D" w14:textId="49DF69B7" w:rsidTr="00D24541">
        <w:tc>
          <w:tcPr>
            <w:tcW w:w="0" w:type="auto"/>
          </w:tcPr>
          <w:p w14:paraId="125BD06C" w14:textId="77777777" w:rsidR="00DB3B0E" w:rsidRPr="009D420B" w:rsidRDefault="00DB3B0E" w:rsidP="00B82E50">
            <w:pPr>
              <w:contextualSpacing/>
              <w:jc w:val="both"/>
              <w:rPr>
                <w:rFonts w:cstheme="minorHAnsi"/>
                <w:color w:val="000000"/>
              </w:rPr>
            </w:pPr>
          </w:p>
        </w:tc>
        <w:tc>
          <w:tcPr>
            <w:tcW w:w="0" w:type="auto"/>
          </w:tcPr>
          <w:p w14:paraId="67577C4D" w14:textId="4CF1505A" w:rsidR="00DB3B0E" w:rsidRPr="009D420B" w:rsidRDefault="00DB3B0E" w:rsidP="00B82E50">
            <w:pPr>
              <w:keepNext/>
              <w:jc w:val="both"/>
              <w:rPr>
                <w:rFonts w:cstheme="minorHAnsi"/>
                <w:b/>
              </w:rPr>
            </w:pPr>
            <w:r w:rsidRPr="009D420B">
              <w:rPr>
                <w:rFonts w:cstheme="minorHAnsi"/>
                <w:b/>
              </w:rPr>
              <w:t xml:space="preserve">Total: </w:t>
            </w:r>
            <w:r w:rsidR="007B3911">
              <w:rPr>
                <w:rFonts w:cstheme="minorHAnsi"/>
                <w:b/>
              </w:rPr>
              <w:t>30</w:t>
            </w:r>
            <w:r w:rsidRPr="009D420B">
              <w:rPr>
                <w:rFonts w:cstheme="minorHAnsi"/>
                <w:b/>
              </w:rPr>
              <w:t xml:space="preserve"> days</w:t>
            </w:r>
          </w:p>
        </w:tc>
        <w:tc>
          <w:tcPr>
            <w:tcW w:w="0" w:type="auto"/>
          </w:tcPr>
          <w:p w14:paraId="1AE76BC6" w14:textId="77777777" w:rsidR="00DB3B0E" w:rsidRPr="009D420B" w:rsidRDefault="00DB3B0E" w:rsidP="00B82E50">
            <w:pPr>
              <w:keepNext/>
              <w:jc w:val="both"/>
              <w:rPr>
                <w:rFonts w:cstheme="minorHAnsi"/>
                <w:b/>
              </w:rPr>
            </w:pPr>
          </w:p>
        </w:tc>
      </w:tr>
    </w:tbl>
    <w:p w14:paraId="49F71949" w14:textId="69E935E0" w:rsidR="002B6E60" w:rsidRPr="002B6E60" w:rsidRDefault="002B6E60" w:rsidP="002B6E60">
      <w:pPr>
        <w:rPr>
          <w:rFonts w:cstheme="minorHAnsi"/>
          <w:b/>
        </w:rPr>
      </w:pPr>
    </w:p>
    <w:p w14:paraId="217B35F4" w14:textId="6C7C4F67" w:rsidR="000363F0" w:rsidRPr="008E130E" w:rsidRDefault="00981D02" w:rsidP="008E130E">
      <w:pPr>
        <w:pStyle w:val="ListParagraph"/>
        <w:numPr>
          <w:ilvl w:val="0"/>
          <w:numId w:val="38"/>
        </w:numPr>
        <w:spacing w:after="60"/>
        <w:ind w:left="720"/>
        <w:rPr>
          <w:rFonts w:asciiTheme="minorHAnsi" w:hAnsiTheme="minorHAnsi" w:cstheme="minorHAnsi"/>
          <w:b/>
        </w:rPr>
      </w:pPr>
      <w:r>
        <w:rPr>
          <w:rFonts w:asciiTheme="minorHAnsi" w:hAnsiTheme="minorHAnsi" w:cstheme="minorHAnsi"/>
          <w:b/>
        </w:rPr>
        <w:t>Institutional arrangements</w:t>
      </w:r>
      <w:r w:rsidR="000363F0" w:rsidRPr="008E130E">
        <w:rPr>
          <w:rFonts w:asciiTheme="minorHAnsi" w:hAnsiTheme="minorHAnsi" w:cstheme="minorHAnsi"/>
          <w:b/>
        </w:rPr>
        <w:t>:</w:t>
      </w:r>
    </w:p>
    <w:p w14:paraId="7A65EF81" w14:textId="2A6FDC7E" w:rsidR="00A02433" w:rsidRPr="009D420B" w:rsidRDefault="00A02433" w:rsidP="00A02433">
      <w:pPr>
        <w:pStyle w:val="ListParagraph"/>
        <w:widowControl w:val="0"/>
        <w:numPr>
          <w:ilvl w:val="0"/>
          <w:numId w:val="15"/>
        </w:numPr>
        <w:autoSpaceDE w:val="0"/>
        <w:autoSpaceDN w:val="0"/>
        <w:adjustRightInd w:val="0"/>
        <w:spacing w:before="0"/>
        <w:contextualSpacing/>
        <w:rPr>
          <w:rFonts w:asciiTheme="minorHAnsi" w:hAnsiTheme="minorHAnsi" w:cstheme="minorHAnsi"/>
          <w:sz w:val="22"/>
          <w:szCs w:val="22"/>
        </w:rPr>
      </w:pPr>
      <w:r w:rsidRPr="009D420B">
        <w:rPr>
          <w:rFonts w:asciiTheme="minorHAnsi" w:hAnsiTheme="minorHAnsi" w:cstheme="minorHAnsi"/>
          <w:sz w:val="22"/>
          <w:szCs w:val="22"/>
        </w:rPr>
        <w:t xml:space="preserve">The consultant will work from home; </w:t>
      </w:r>
    </w:p>
    <w:p w14:paraId="6DA5F468" w14:textId="77777777" w:rsidR="00A02433" w:rsidRPr="009D420B" w:rsidRDefault="00A02433" w:rsidP="00A02433">
      <w:pPr>
        <w:pStyle w:val="ListParagraph"/>
        <w:widowControl w:val="0"/>
        <w:numPr>
          <w:ilvl w:val="0"/>
          <w:numId w:val="15"/>
        </w:numPr>
        <w:autoSpaceDE w:val="0"/>
        <w:autoSpaceDN w:val="0"/>
        <w:adjustRightInd w:val="0"/>
        <w:spacing w:before="0"/>
        <w:contextualSpacing/>
        <w:rPr>
          <w:rFonts w:asciiTheme="minorHAnsi" w:hAnsiTheme="minorHAnsi" w:cstheme="minorHAnsi"/>
          <w:sz w:val="22"/>
          <w:szCs w:val="22"/>
        </w:rPr>
      </w:pPr>
      <w:r w:rsidRPr="009D420B">
        <w:rPr>
          <w:rFonts w:asciiTheme="minorHAnsi" w:hAnsiTheme="minorHAnsi" w:cstheme="minorHAnsi"/>
          <w:sz w:val="22"/>
          <w:szCs w:val="22"/>
        </w:rPr>
        <w:t>The Consultant will be given access to relevant information necessary for execution of the tasks under this assignment;</w:t>
      </w:r>
    </w:p>
    <w:p w14:paraId="129E1B57" w14:textId="77777777" w:rsidR="00A02433" w:rsidRPr="009D420B" w:rsidRDefault="00A02433" w:rsidP="00A02433">
      <w:pPr>
        <w:pStyle w:val="ListParagraph"/>
        <w:widowControl w:val="0"/>
        <w:numPr>
          <w:ilvl w:val="0"/>
          <w:numId w:val="15"/>
        </w:numPr>
        <w:autoSpaceDE w:val="0"/>
        <w:autoSpaceDN w:val="0"/>
        <w:adjustRightInd w:val="0"/>
        <w:spacing w:before="0"/>
        <w:contextualSpacing/>
        <w:rPr>
          <w:rFonts w:asciiTheme="minorHAnsi" w:hAnsiTheme="minorHAnsi" w:cstheme="minorHAnsi"/>
          <w:sz w:val="22"/>
          <w:szCs w:val="22"/>
        </w:rPr>
      </w:pPr>
      <w:r w:rsidRPr="009D420B">
        <w:rPr>
          <w:rFonts w:asciiTheme="minorHAnsi" w:hAnsiTheme="minorHAnsi" w:cstheme="minorHAnsi"/>
          <w:sz w:val="22"/>
          <w:szCs w:val="22"/>
        </w:rPr>
        <w:t xml:space="preserve">The Consultant will be responsible for providing her/his own work station (i.e. laptop, internet, phone, scanner/printer, etc.) and must have access to reliable internet connection; </w:t>
      </w:r>
    </w:p>
    <w:p w14:paraId="568B9F43" w14:textId="77777777" w:rsidR="00A02433" w:rsidRPr="009D420B" w:rsidRDefault="00A02433" w:rsidP="00A02433">
      <w:pPr>
        <w:pStyle w:val="ListParagraph"/>
        <w:widowControl w:val="0"/>
        <w:numPr>
          <w:ilvl w:val="0"/>
          <w:numId w:val="15"/>
        </w:numPr>
        <w:autoSpaceDE w:val="0"/>
        <w:autoSpaceDN w:val="0"/>
        <w:adjustRightInd w:val="0"/>
        <w:spacing w:before="0"/>
        <w:contextualSpacing/>
        <w:rPr>
          <w:rFonts w:asciiTheme="minorHAnsi" w:hAnsiTheme="minorHAnsi" w:cstheme="minorHAnsi"/>
          <w:sz w:val="22"/>
          <w:szCs w:val="22"/>
        </w:rPr>
      </w:pPr>
      <w:r w:rsidRPr="009D420B">
        <w:rPr>
          <w:rFonts w:asciiTheme="minorHAnsi" w:hAnsiTheme="minorHAnsi" w:cstheme="minorHAnsi"/>
          <w:sz w:val="22"/>
          <w:szCs w:val="22"/>
        </w:rPr>
        <w:t>Given the global consultations to be undertaken during this assignment, the consultant is expected to be reasonably flexible with his/her availability for such consultations taking into consideration different time zones;</w:t>
      </w:r>
    </w:p>
    <w:p w14:paraId="02E5EE60" w14:textId="798B7C2B" w:rsidR="00A02433" w:rsidRPr="008315CD" w:rsidRDefault="00A02433" w:rsidP="00A02433">
      <w:pPr>
        <w:pStyle w:val="ListParagraph"/>
        <w:widowControl w:val="0"/>
        <w:numPr>
          <w:ilvl w:val="0"/>
          <w:numId w:val="15"/>
        </w:numPr>
        <w:autoSpaceDE w:val="0"/>
        <w:autoSpaceDN w:val="0"/>
        <w:adjustRightInd w:val="0"/>
        <w:spacing w:before="0"/>
        <w:contextualSpacing/>
        <w:rPr>
          <w:rFonts w:asciiTheme="minorHAnsi" w:hAnsiTheme="minorHAnsi" w:cstheme="minorHAnsi"/>
          <w:sz w:val="22"/>
          <w:szCs w:val="22"/>
        </w:rPr>
      </w:pPr>
      <w:r w:rsidRPr="008315CD">
        <w:rPr>
          <w:rFonts w:asciiTheme="minorHAnsi" w:hAnsiTheme="minorHAnsi" w:cstheme="minorHAnsi"/>
          <w:sz w:val="22"/>
          <w:szCs w:val="22"/>
        </w:rPr>
        <w:t xml:space="preserve">Payments will be made upon submission of a detailed time sheet and certification of payment form, and acceptance and confirmation by the Supervisor on days worked (with a “day” calculated as 8 hours of work) and outputs delivered. </w:t>
      </w:r>
    </w:p>
    <w:p w14:paraId="0CF0855F" w14:textId="77777777" w:rsidR="008E130E" w:rsidRDefault="008E130E" w:rsidP="00A02433">
      <w:pPr>
        <w:rPr>
          <w:rFonts w:cstheme="minorHAnsi"/>
          <w:b/>
        </w:rPr>
      </w:pPr>
    </w:p>
    <w:p w14:paraId="49F693EB" w14:textId="11B2A1A9" w:rsidR="00A02433" w:rsidRPr="009D420B" w:rsidRDefault="00A02433" w:rsidP="00A02433">
      <w:pPr>
        <w:rPr>
          <w:rFonts w:cstheme="minorHAnsi"/>
          <w:b/>
        </w:rPr>
      </w:pPr>
      <w:r w:rsidRPr="009D420B">
        <w:rPr>
          <w:rFonts w:cstheme="minorHAnsi"/>
          <w:b/>
        </w:rPr>
        <w:t>Travel:</w:t>
      </w:r>
    </w:p>
    <w:p w14:paraId="6BE8FFC6" w14:textId="7BDC7335" w:rsidR="008E130E" w:rsidRPr="008E130E" w:rsidRDefault="008E130E" w:rsidP="008E130E">
      <w:pPr>
        <w:tabs>
          <w:tab w:val="left" w:pos="851"/>
        </w:tabs>
        <w:contextualSpacing/>
        <w:rPr>
          <w:rFonts w:cstheme="minorHAnsi"/>
          <w:lang w:val="en-GB"/>
        </w:rPr>
      </w:pPr>
      <w:r>
        <w:rPr>
          <w:rFonts w:cstheme="minorHAnsi"/>
          <w:lang w:val="en-GB"/>
        </w:rPr>
        <w:t>In case if any travel is requested by UNDP for the delivery of this assignment, it will be reimbursed separately with the following conditions:</w:t>
      </w:r>
    </w:p>
    <w:p w14:paraId="68F50F7F" w14:textId="0239511A" w:rsidR="00A02433" w:rsidRPr="009D420B" w:rsidRDefault="00A02433" w:rsidP="009D420B">
      <w:pPr>
        <w:pStyle w:val="ListParagraph"/>
        <w:numPr>
          <w:ilvl w:val="0"/>
          <w:numId w:val="27"/>
        </w:numPr>
        <w:tabs>
          <w:tab w:val="left" w:pos="851"/>
        </w:tabs>
        <w:spacing w:before="0" w:after="200"/>
        <w:contextualSpacing/>
        <w:rPr>
          <w:rFonts w:asciiTheme="minorHAnsi" w:hAnsiTheme="minorHAnsi" w:cstheme="minorHAnsi"/>
          <w:sz w:val="22"/>
          <w:szCs w:val="22"/>
          <w:lang w:val="en-GB"/>
        </w:rPr>
      </w:pPr>
      <w:r w:rsidRPr="009D420B">
        <w:rPr>
          <w:rFonts w:asciiTheme="minorHAnsi" w:hAnsiTheme="minorHAnsi" w:cstheme="minorHAnsi"/>
          <w:sz w:val="22"/>
          <w:szCs w:val="22"/>
          <w:lang w:val="en-GB"/>
        </w:rPr>
        <w:lastRenderedPageBreak/>
        <w:t xml:space="preserve">Any necessary mission travel must be approved </w:t>
      </w:r>
      <w:r w:rsidRPr="009D420B">
        <w:rPr>
          <w:rFonts w:asciiTheme="minorHAnsi" w:hAnsiTheme="minorHAnsi" w:cstheme="minorHAnsi"/>
          <w:sz w:val="22"/>
          <w:szCs w:val="22"/>
          <w:u w:val="single"/>
          <w:lang w:val="en-GB"/>
        </w:rPr>
        <w:t>in advance and writing</w:t>
      </w:r>
      <w:r w:rsidRPr="009D420B">
        <w:rPr>
          <w:rFonts w:asciiTheme="minorHAnsi" w:hAnsiTheme="minorHAnsi" w:cstheme="minorHAnsi"/>
          <w:sz w:val="22"/>
          <w:szCs w:val="22"/>
          <w:lang w:val="en-GB"/>
        </w:rPr>
        <w:t xml:space="preserve"> by the Supervisor;</w:t>
      </w:r>
    </w:p>
    <w:p w14:paraId="1C606623" w14:textId="77777777" w:rsidR="00A02433" w:rsidRPr="009D420B" w:rsidRDefault="00A02433" w:rsidP="009D420B">
      <w:pPr>
        <w:pStyle w:val="ListParagraph"/>
        <w:numPr>
          <w:ilvl w:val="0"/>
          <w:numId w:val="27"/>
        </w:numPr>
        <w:tabs>
          <w:tab w:val="left" w:pos="851"/>
        </w:tabs>
        <w:spacing w:before="0" w:after="200"/>
        <w:contextualSpacing/>
        <w:rPr>
          <w:rFonts w:asciiTheme="minorHAnsi" w:hAnsiTheme="minorHAnsi" w:cstheme="minorHAnsi"/>
          <w:sz w:val="22"/>
          <w:szCs w:val="22"/>
          <w:lang w:val="en-GB"/>
        </w:rPr>
      </w:pPr>
      <w:r w:rsidRPr="009D420B">
        <w:rPr>
          <w:rFonts w:asciiTheme="minorHAnsi" w:hAnsiTheme="minorHAnsi" w:cstheme="minorHAnsi"/>
          <w:sz w:val="22"/>
          <w:szCs w:val="22"/>
          <w:lang w:val="en-GB"/>
        </w:rPr>
        <w:t xml:space="preserve">The </w:t>
      </w:r>
      <w:hyperlink r:id="rId12" w:history="1">
        <w:r w:rsidRPr="009D420B">
          <w:rPr>
            <w:rFonts w:asciiTheme="minorHAnsi" w:hAnsiTheme="minorHAnsi" w:cstheme="minorHAnsi"/>
            <w:color w:val="336699"/>
            <w:sz w:val="22"/>
            <w:szCs w:val="22"/>
          </w:rPr>
          <w:t>BSAFE course</w:t>
        </w:r>
      </w:hyperlink>
      <w:r w:rsidRPr="009D420B">
        <w:rPr>
          <w:rFonts w:asciiTheme="minorHAnsi" w:hAnsiTheme="minorHAnsi" w:cstheme="minorHAnsi"/>
          <w:sz w:val="22"/>
          <w:szCs w:val="22"/>
          <w:lang w:val="en-GB"/>
        </w:rPr>
        <w:t xml:space="preserve"> </w:t>
      </w:r>
      <w:r w:rsidRPr="009D420B">
        <w:rPr>
          <w:rFonts w:asciiTheme="minorHAnsi" w:hAnsiTheme="minorHAnsi" w:cstheme="minorHAnsi"/>
          <w:sz w:val="22"/>
          <w:szCs w:val="22"/>
          <w:u w:val="single"/>
          <w:lang w:val="en-GB"/>
        </w:rPr>
        <w:t>must</w:t>
      </w:r>
      <w:r w:rsidRPr="009D420B">
        <w:rPr>
          <w:rFonts w:asciiTheme="minorHAnsi" w:hAnsiTheme="minorHAnsi" w:cstheme="minorHAnsi"/>
          <w:sz w:val="22"/>
          <w:szCs w:val="22"/>
          <w:lang w:val="en-GB"/>
        </w:rPr>
        <w:t xml:space="preserve"> </w:t>
      </w:r>
      <w:r w:rsidRPr="009D420B">
        <w:rPr>
          <w:rFonts w:asciiTheme="minorHAnsi" w:hAnsiTheme="minorHAnsi" w:cstheme="minorHAnsi"/>
          <w:noProof/>
          <w:sz w:val="22"/>
          <w:szCs w:val="22"/>
          <w:lang w:val="en-GB"/>
        </w:rPr>
        <w:t>be completed</w:t>
      </w:r>
      <w:r w:rsidRPr="009D420B">
        <w:rPr>
          <w:rFonts w:asciiTheme="minorHAnsi" w:hAnsiTheme="minorHAnsi" w:cstheme="minorHAnsi"/>
          <w:sz w:val="22"/>
          <w:szCs w:val="22"/>
          <w:lang w:val="en-GB"/>
        </w:rPr>
        <w:t xml:space="preserve"> </w:t>
      </w:r>
      <w:r w:rsidRPr="009D420B">
        <w:rPr>
          <w:rFonts w:asciiTheme="minorHAnsi" w:hAnsiTheme="minorHAnsi" w:cstheme="minorHAnsi"/>
          <w:noProof/>
          <w:sz w:val="22"/>
          <w:szCs w:val="22"/>
          <w:u w:val="single"/>
          <w:lang w:val="en-GB"/>
        </w:rPr>
        <w:t>before</w:t>
      </w:r>
      <w:r w:rsidRPr="009D420B">
        <w:rPr>
          <w:rFonts w:asciiTheme="minorHAnsi" w:hAnsiTheme="minorHAnsi" w:cstheme="minorHAnsi"/>
          <w:sz w:val="22"/>
          <w:szCs w:val="22"/>
          <w:lang w:val="en-GB"/>
        </w:rPr>
        <w:t xml:space="preserve"> the </w:t>
      </w:r>
      <w:r w:rsidRPr="009D420B">
        <w:rPr>
          <w:rFonts w:asciiTheme="minorHAnsi" w:hAnsiTheme="minorHAnsi" w:cstheme="minorHAnsi"/>
          <w:noProof/>
          <w:sz w:val="22"/>
          <w:szCs w:val="22"/>
          <w:lang w:val="en-GB"/>
        </w:rPr>
        <w:t>commencement</w:t>
      </w:r>
      <w:r w:rsidRPr="009D420B">
        <w:rPr>
          <w:rFonts w:asciiTheme="minorHAnsi" w:hAnsiTheme="minorHAnsi" w:cstheme="minorHAnsi"/>
          <w:sz w:val="22"/>
          <w:szCs w:val="22"/>
          <w:lang w:val="en-GB"/>
        </w:rPr>
        <w:t xml:space="preserve"> of travel;</w:t>
      </w:r>
    </w:p>
    <w:p w14:paraId="393B0EE1" w14:textId="77777777" w:rsidR="00A02433" w:rsidRPr="009D420B" w:rsidRDefault="00A02433" w:rsidP="009D420B">
      <w:pPr>
        <w:pStyle w:val="ListParagraph"/>
        <w:numPr>
          <w:ilvl w:val="0"/>
          <w:numId w:val="27"/>
        </w:numPr>
        <w:tabs>
          <w:tab w:val="left" w:pos="851"/>
        </w:tabs>
        <w:spacing w:before="0" w:after="200"/>
        <w:contextualSpacing/>
        <w:rPr>
          <w:rFonts w:asciiTheme="minorHAnsi" w:hAnsiTheme="minorHAnsi" w:cstheme="minorHAnsi"/>
          <w:sz w:val="22"/>
          <w:szCs w:val="22"/>
          <w:lang w:val="en-GB"/>
        </w:rPr>
      </w:pPr>
      <w:r w:rsidRPr="009D420B">
        <w:rPr>
          <w:rFonts w:asciiTheme="minorHAnsi" w:hAnsiTheme="minorHAnsi" w:cstheme="minorHAnsi"/>
          <w:sz w:val="22"/>
          <w:szCs w:val="22"/>
          <w:lang w:val="en-GB"/>
        </w:rPr>
        <w:t xml:space="preserve">Individual Consultants are responsible for ensuring they have vaccinations/inoculations when </w:t>
      </w:r>
      <w:r w:rsidRPr="009D420B">
        <w:rPr>
          <w:rFonts w:asciiTheme="minorHAnsi" w:hAnsiTheme="minorHAnsi" w:cstheme="minorHAnsi"/>
          <w:noProof/>
          <w:sz w:val="22"/>
          <w:szCs w:val="22"/>
          <w:lang w:val="en-GB"/>
        </w:rPr>
        <w:t>traveling</w:t>
      </w:r>
      <w:r w:rsidRPr="009D420B">
        <w:rPr>
          <w:rFonts w:asciiTheme="minorHAnsi" w:hAnsiTheme="minorHAnsi" w:cstheme="minorHAnsi"/>
          <w:sz w:val="22"/>
          <w:szCs w:val="22"/>
          <w:lang w:val="en-GB"/>
        </w:rPr>
        <w:t xml:space="preserve"> to certain countries, as designated by the </w:t>
      </w:r>
      <w:hyperlink r:id="rId13" w:history="1">
        <w:r w:rsidRPr="009D420B">
          <w:rPr>
            <w:rFonts w:asciiTheme="minorHAnsi" w:hAnsiTheme="minorHAnsi" w:cstheme="minorHAnsi"/>
            <w:color w:val="336699"/>
            <w:sz w:val="22"/>
            <w:szCs w:val="22"/>
          </w:rPr>
          <w:t>UN Medical Director</w:t>
        </w:r>
      </w:hyperlink>
      <w:r w:rsidRPr="009D420B">
        <w:rPr>
          <w:rFonts w:asciiTheme="minorHAnsi" w:hAnsiTheme="minorHAnsi" w:cstheme="minorHAnsi"/>
          <w:sz w:val="22"/>
          <w:szCs w:val="22"/>
          <w:lang w:val="en-GB"/>
        </w:rPr>
        <w:t>;</w:t>
      </w:r>
    </w:p>
    <w:p w14:paraId="29B69020" w14:textId="77777777" w:rsidR="00A02433" w:rsidRPr="009D420B" w:rsidRDefault="00A02433" w:rsidP="009D420B">
      <w:pPr>
        <w:pStyle w:val="ListParagraph"/>
        <w:numPr>
          <w:ilvl w:val="0"/>
          <w:numId w:val="27"/>
        </w:numPr>
        <w:tabs>
          <w:tab w:val="left" w:pos="851"/>
        </w:tabs>
        <w:spacing w:before="0" w:after="200"/>
        <w:contextualSpacing/>
        <w:rPr>
          <w:rStyle w:val="Hyperlink"/>
          <w:rFonts w:asciiTheme="minorHAnsi" w:hAnsiTheme="minorHAnsi" w:cstheme="minorHAnsi"/>
          <w:sz w:val="22"/>
          <w:szCs w:val="22"/>
          <w:lang w:val="en-GB"/>
        </w:rPr>
      </w:pPr>
      <w:r w:rsidRPr="009D420B">
        <w:rPr>
          <w:rFonts w:asciiTheme="minorHAnsi" w:hAnsiTheme="minorHAnsi" w:cstheme="minorHAnsi"/>
          <w:sz w:val="22"/>
          <w:szCs w:val="22"/>
          <w:lang w:val="en-GB"/>
        </w:rPr>
        <w:t>Consultants are also required to comply with the UN security directives</w:t>
      </w:r>
      <w:r w:rsidRPr="009D420B">
        <w:rPr>
          <w:rFonts w:asciiTheme="minorHAnsi" w:hAnsiTheme="minorHAnsi" w:cstheme="minorHAnsi"/>
          <w:color w:val="333333"/>
          <w:sz w:val="22"/>
          <w:szCs w:val="22"/>
        </w:rPr>
        <w:t xml:space="preserve"> set forth under </w:t>
      </w:r>
      <w:hyperlink r:id="rId14" w:history="1">
        <w:r w:rsidRPr="009D420B">
          <w:rPr>
            <w:rFonts w:asciiTheme="minorHAnsi" w:hAnsiTheme="minorHAnsi" w:cstheme="minorHAnsi"/>
            <w:color w:val="336699"/>
            <w:sz w:val="22"/>
            <w:szCs w:val="22"/>
          </w:rPr>
          <w:t>https://dss.un.org/dssweb/</w:t>
        </w:r>
      </w:hyperlink>
      <w:r w:rsidRPr="009D420B">
        <w:rPr>
          <w:rFonts w:asciiTheme="minorHAnsi" w:hAnsiTheme="minorHAnsi" w:cstheme="minorHAnsi"/>
          <w:sz w:val="22"/>
          <w:szCs w:val="22"/>
          <w:lang w:val="en-GB"/>
        </w:rPr>
        <w:t xml:space="preserve">;  </w:t>
      </w:r>
    </w:p>
    <w:p w14:paraId="5BC3F2EA" w14:textId="77777777" w:rsidR="00A02433" w:rsidRPr="009D420B" w:rsidRDefault="00A02433" w:rsidP="009D420B">
      <w:pPr>
        <w:pStyle w:val="ListParagraph"/>
        <w:numPr>
          <w:ilvl w:val="0"/>
          <w:numId w:val="27"/>
        </w:numPr>
        <w:tabs>
          <w:tab w:val="left" w:pos="851"/>
        </w:tabs>
        <w:spacing w:before="0" w:after="200"/>
        <w:contextualSpacing/>
        <w:rPr>
          <w:rFonts w:asciiTheme="minorHAnsi" w:hAnsiTheme="minorHAnsi" w:cstheme="minorHAnsi"/>
          <w:sz w:val="22"/>
          <w:szCs w:val="22"/>
          <w:lang w:val="en-GB"/>
        </w:rPr>
      </w:pPr>
      <w:r w:rsidRPr="009D420B">
        <w:rPr>
          <w:rFonts w:asciiTheme="minorHAnsi" w:hAnsiTheme="minorHAnsi" w:cstheme="minorHAnsi"/>
          <w:sz w:val="22"/>
          <w:szCs w:val="22"/>
          <w:lang w:val="en-GB"/>
        </w:rPr>
        <w:t xml:space="preserve">The consultant will be responsible for making his/her mission travel arrangements in line with </w:t>
      </w:r>
      <w:hyperlink r:id="rId15" w:history="1">
        <w:r w:rsidRPr="009D420B">
          <w:rPr>
            <w:rStyle w:val="Hyperlink"/>
            <w:rFonts w:asciiTheme="minorHAnsi" w:hAnsiTheme="minorHAnsi" w:cstheme="minorHAnsi"/>
            <w:sz w:val="22"/>
            <w:szCs w:val="22"/>
            <w:lang w:val="en-GB"/>
          </w:rPr>
          <w:t>UNDP travel policies</w:t>
        </w:r>
      </w:hyperlink>
      <w:r w:rsidRPr="009D420B">
        <w:rPr>
          <w:rFonts w:asciiTheme="minorHAnsi" w:hAnsiTheme="minorHAnsi" w:cstheme="minorHAnsi"/>
          <w:sz w:val="22"/>
          <w:szCs w:val="22"/>
          <w:lang w:val="en-GB"/>
        </w:rPr>
        <w:t>;</w:t>
      </w:r>
    </w:p>
    <w:p w14:paraId="60581206" w14:textId="46C90980" w:rsidR="00A02433" w:rsidRPr="00CF7ED1" w:rsidRDefault="00A02433" w:rsidP="009D420B">
      <w:pPr>
        <w:pStyle w:val="ListParagraph"/>
        <w:numPr>
          <w:ilvl w:val="0"/>
          <w:numId w:val="27"/>
        </w:numPr>
        <w:spacing w:before="0"/>
        <w:rPr>
          <w:rFonts w:asciiTheme="minorHAnsi" w:hAnsiTheme="minorHAnsi" w:cstheme="minorHAnsi"/>
          <w:b/>
          <w:sz w:val="22"/>
          <w:szCs w:val="22"/>
        </w:rPr>
      </w:pPr>
      <w:r w:rsidRPr="009D420B">
        <w:rPr>
          <w:rFonts w:asciiTheme="minorHAnsi" w:hAnsiTheme="minorHAnsi" w:cstheme="minorHAnsi"/>
          <w:sz w:val="22"/>
          <w:szCs w:val="22"/>
        </w:rPr>
        <w:t xml:space="preserve">All travel expenses related to mission travels will </w:t>
      </w:r>
      <w:r w:rsidRPr="009D420B">
        <w:rPr>
          <w:rFonts w:asciiTheme="minorHAnsi" w:hAnsiTheme="minorHAnsi" w:cstheme="minorHAnsi"/>
          <w:noProof/>
          <w:sz w:val="22"/>
          <w:szCs w:val="22"/>
        </w:rPr>
        <w:t>be supported</w:t>
      </w:r>
      <w:r w:rsidRPr="009D420B">
        <w:rPr>
          <w:rFonts w:asciiTheme="minorHAnsi" w:hAnsiTheme="minorHAnsi" w:cstheme="minorHAnsi"/>
          <w:sz w:val="22"/>
          <w:szCs w:val="22"/>
        </w:rPr>
        <w:t xml:space="preserve"> by the project travel fund and will </w:t>
      </w:r>
      <w:r w:rsidRPr="009D420B">
        <w:rPr>
          <w:rFonts w:asciiTheme="minorHAnsi" w:hAnsiTheme="minorHAnsi" w:cstheme="minorHAnsi"/>
          <w:noProof/>
          <w:sz w:val="22"/>
          <w:szCs w:val="22"/>
        </w:rPr>
        <w:t>be reimbursed</w:t>
      </w:r>
      <w:r w:rsidRPr="009D420B">
        <w:rPr>
          <w:rFonts w:asciiTheme="minorHAnsi" w:hAnsiTheme="minorHAnsi" w:cstheme="minorHAnsi"/>
          <w:sz w:val="22"/>
          <w:szCs w:val="22"/>
        </w:rPr>
        <w:t xml:space="preserve"> as per UNDP rules and regulations for consultants. Costs for mission airfares, terminal expenses, and living allowances should not </w:t>
      </w:r>
      <w:r w:rsidRPr="009D420B">
        <w:rPr>
          <w:rFonts w:asciiTheme="minorHAnsi" w:hAnsiTheme="minorHAnsi" w:cstheme="minorHAnsi"/>
          <w:noProof/>
          <w:sz w:val="22"/>
          <w:szCs w:val="22"/>
        </w:rPr>
        <w:t>be included</w:t>
      </w:r>
      <w:r w:rsidRPr="009D420B">
        <w:rPr>
          <w:rFonts w:asciiTheme="minorHAnsi" w:hAnsiTheme="minorHAnsi" w:cstheme="minorHAnsi"/>
          <w:sz w:val="22"/>
          <w:szCs w:val="22"/>
        </w:rPr>
        <w:t xml:space="preserve"> in </w:t>
      </w:r>
      <w:r w:rsidRPr="009D420B">
        <w:rPr>
          <w:rFonts w:asciiTheme="minorHAnsi" w:hAnsiTheme="minorHAnsi" w:cstheme="minorHAnsi"/>
          <w:noProof/>
          <w:sz w:val="22"/>
          <w:szCs w:val="22"/>
        </w:rPr>
        <w:t>financial</w:t>
      </w:r>
      <w:r w:rsidRPr="009D420B">
        <w:rPr>
          <w:rFonts w:asciiTheme="minorHAnsi" w:hAnsiTheme="minorHAnsi" w:cstheme="minorHAnsi"/>
          <w:sz w:val="22"/>
          <w:szCs w:val="22"/>
        </w:rPr>
        <w:t xml:space="preserve"> proposal.</w:t>
      </w:r>
    </w:p>
    <w:p w14:paraId="37205AD3" w14:textId="3904FCF8" w:rsidR="00CF7ED1" w:rsidRDefault="00CF7ED1" w:rsidP="009D420B">
      <w:pPr>
        <w:jc w:val="both"/>
        <w:rPr>
          <w:rFonts w:cstheme="minorHAnsi"/>
          <w:b/>
        </w:rPr>
      </w:pPr>
    </w:p>
    <w:p w14:paraId="5D95EE95" w14:textId="2641DD4F" w:rsidR="00981D02" w:rsidRPr="008E130E" w:rsidRDefault="00981D02" w:rsidP="00981D02">
      <w:pPr>
        <w:pStyle w:val="ListParagraph"/>
        <w:numPr>
          <w:ilvl w:val="0"/>
          <w:numId w:val="38"/>
        </w:numPr>
        <w:spacing w:after="60"/>
        <w:ind w:left="720"/>
        <w:rPr>
          <w:rFonts w:asciiTheme="minorHAnsi" w:hAnsiTheme="minorHAnsi" w:cstheme="minorHAnsi"/>
          <w:b/>
        </w:rPr>
      </w:pPr>
      <w:r>
        <w:rPr>
          <w:rFonts w:asciiTheme="minorHAnsi" w:hAnsiTheme="minorHAnsi" w:cstheme="minorHAnsi"/>
          <w:b/>
        </w:rPr>
        <w:t>Competencies, qualifications, selection process</w:t>
      </w:r>
      <w:r w:rsidRPr="008E130E">
        <w:rPr>
          <w:rFonts w:asciiTheme="minorHAnsi" w:hAnsiTheme="minorHAnsi" w:cstheme="minorHAnsi"/>
          <w:b/>
        </w:rPr>
        <w:t>:</w:t>
      </w:r>
    </w:p>
    <w:p w14:paraId="0F698166" w14:textId="77777777" w:rsidR="00981D02" w:rsidRDefault="00981D02" w:rsidP="009D420B">
      <w:pPr>
        <w:jc w:val="both"/>
        <w:rPr>
          <w:rFonts w:cstheme="minorHAnsi"/>
          <w:b/>
        </w:rPr>
      </w:pPr>
    </w:p>
    <w:p w14:paraId="2DB85808" w14:textId="77955665" w:rsidR="00A02433" w:rsidRPr="009D420B" w:rsidRDefault="00A02433" w:rsidP="009D420B">
      <w:pPr>
        <w:jc w:val="both"/>
        <w:rPr>
          <w:rFonts w:cstheme="minorHAnsi"/>
          <w:b/>
        </w:rPr>
      </w:pPr>
      <w:r w:rsidRPr="009D420B">
        <w:rPr>
          <w:rFonts w:cstheme="minorHAnsi"/>
          <w:b/>
        </w:rPr>
        <w:t>Competencies:</w:t>
      </w:r>
    </w:p>
    <w:p w14:paraId="2A56B55B" w14:textId="77777777" w:rsidR="00A02433" w:rsidRPr="009D420B" w:rsidRDefault="00A02433" w:rsidP="009D420B">
      <w:pPr>
        <w:jc w:val="both"/>
        <w:rPr>
          <w:rFonts w:cstheme="minorHAnsi"/>
          <w:b/>
        </w:rPr>
      </w:pPr>
      <w:r w:rsidRPr="009D420B">
        <w:rPr>
          <w:rFonts w:cstheme="minorHAnsi"/>
          <w:b/>
        </w:rPr>
        <w:t>Corporate:</w:t>
      </w:r>
    </w:p>
    <w:p w14:paraId="5B782B9D" w14:textId="77777777" w:rsidR="00A02433" w:rsidRPr="009D420B" w:rsidRDefault="00A02433" w:rsidP="009D420B">
      <w:pPr>
        <w:pStyle w:val="ListParagraph"/>
        <w:numPr>
          <w:ilvl w:val="0"/>
          <w:numId w:val="16"/>
        </w:numPr>
        <w:spacing w:before="0"/>
        <w:rPr>
          <w:rFonts w:asciiTheme="minorHAnsi" w:hAnsiTheme="minorHAnsi" w:cstheme="minorHAnsi"/>
          <w:sz w:val="22"/>
          <w:szCs w:val="22"/>
        </w:rPr>
      </w:pPr>
      <w:r w:rsidRPr="009D420B">
        <w:rPr>
          <w:rFonts w:asciiTheme="minorHAnsi" w:hAnsiTheme="minorHAnsi" w:cstheme="minorHAnsi"/>
          <w:sz w:val="22"/>
          <w:szCs w:val="22"/>
        </w:rPr>
        <w:t>Demonstrates integrity by modelling the UN’s values and ethical standards;</w:t>
      </w:r>
    </w:p>
    <w:p w14:paraId="2C2E11C9" w14:textId="77777777" w:rsidR="00A02433" w:rsidRPr="009D420B" w:rsidRDefault="00A02433" w:rsidP="009D420B">
      <w:pPr>
        <w:pStyle w:val="ListParagraph"/>
        <w:numPr>
          <w:ilvl w:val="0"/>
          <w:numId w:val="16"/>
        </w:numPr>
        <w:spacing w:before="0"/>
        <w:rPr>
          <w:rFonts w:asciiTheme="minorHAnsi" w:hAnsiTheme="minorHAnsi" w:cstheme="minorHAnsi"/>
          <w:sz w:val="22"/>
          <w:szCs w:val="22"/>
        </w:rPr>
      </w:pPr>
      <w:r w:rsidRPr="009D420B">
        <w:rPr>
          <w:rFonts w:asciiTheme="minorHAnsi" w:hAnsiTheme="minorHAnsi" w:cstheme="minorHAnsi"/>
          <w:sz w:val="22"/>
          <w:szCs w:val="22"/>
        </w:rPr>
        <w:t>Promotes the vision, mission, and strategic goals of UNDP;</w:t>
      </w:r>
    </w:p>
    <w:p w14:paraId="7E6D0722" w14:textId="77777777" w:rsidR="00A02433" w:rsidRPr="009D420B" w:rsidRDefault="00A02433" w:rsidP="009D420B">
      <w:pPr>
        <w:pStyle w:val="ListParagraph"/>
        <w:numPr>
          <w:ilvl w:val="0"/>
          <w:numId w:val="16"/>
        </w:numPr>
        <w:spacing w:before="0"/>
        <w:rPr>
          <w:rFonts w:asciiTheme="minorHAnsi" w:hAnsiTheme="minorHAnsi" w:cstheme="minorHAnsi"/>
          <w:sz w:val="22"/>
          <w:szCs w:val="22"/>
        </w:rPr>
      </w:pPr>
      <w:r w:rsidRPr="009D420B">
        <w:rPr>
          <w:rFonts w:asciiTheme="minorHAnsi" w:hAnsiTheme="minorHAnsi" w:cstheme="minorHAnsi"/>
          <w:sz w:val="22"/>
          <w:szCs w:val="22"/>
        </w:rPr>
        <w:t>Displays cultural, gender, religion, race, nationality and age sensitivity and adaptability;</w:t>
      </w:r>
    </w:p>
    <w:p w14:paraId="441B0AF7" w14:textId="07DCC158" w:rsidR="00981D02" w:rsidRPr="005F756A" w:rsidRDefault="00A02433" w:rsidP="009D420B">
      <w:pPr>
        <w:pStyle w:val="ListParagraph"/>
        <w:numPr>
          <w:ilvl w:val="0"/>
          <w:numId w:val="16"/>
        </w:numPr>
        <w:spacing w:before="0"/>
        <w:rPr>
          <w:rFonts w:asciiTheme="minorHAnsi" w:hAnsiTheme="minorHAnsi" w:cstheme="minorHAnsi"/>
          <w:sz w:val="22"/>
          <w:szCs w:val="22"/>
        </w:rPr>
      </w:pPr>
      <w:r w:rsidRPr="009D420B">
        <w:rPr>
          <w:rFonts w:asciiTheme="minorHAnsi" w:hAnsiTheme="minorHAnsi" w:cstheme="minorHAnsi"/>
          <w:sz w:val="22"/>
          <w:szCs w:val="22"/>
        </w:rPr>
        <w:t xml:space="preserve">Treats all people fairly without </w:t>
      </w:r>
      <w:r w:rsidR="00E7763A" w:rsidRPr="009D420B">
        <w:rPr>
          <w:rFonts w:asciiTheme="minorHAnsi" w:hAnsiTheme="minorHAnsi" w:cstheme="minorHAnsi"/>
          <w:sz w:val="22"/>
          <w:szCs w:val="22"/>
        </w:rPr>
        <w:t>favoritisms</w:t>
      </w:r>
      <w:r w:rsidRPr="009D420B">
        <w:rPr>
          <w:rFonts w:asciiTheme="minorHAnsi" w:hAnsiTheme="minorHAnsi" w:cstheme="minorHAnsi"/>
          <w:sz w:val="22"/>
          <w:szCs w:val="22"/>
        </w:rPr>
        <w:t>.</w:t>
      </w:r>
    </w:p>
    <w:p w14:paraId="4FFE65C3" w14:textId="203FA148" w:rsidR="00A02433" w:rsidRPr="009D420B" w:rsidRDefault="00A02433" w:rsidP="009D420B">
      <w:pPr>
        <w:jc w:val="both"/>
        <w:rPr>
          <w:rFonts w:cstheme="minorHAnsi"/>
          <w:b/>
        </w:rPr>
      </w:pPr>
      <w:r w:rsidRPr="009D420B">
        <w:rPr>
          <w:rFonts w:cstheme="minorHAnsi"/>
          <w:b/>
        </w:rPr>
        <w:t>Technical:</w:t>
      </w:r>
    </w:p>
    <w:p w14:paraId="18E1F2C1" w14:textId="3000FE17" w:rsidR="00F13D9E" w:rsidRDefault="00F13D9E" w:rsidP="009D420B">
      <w:pPr>
        <w:pStyle w:val="ListParagraph"/>
        <w:numPr>
          <w:ilvl w:val="0"/>
          <w:numId w:val="16"/>
        </w:numPr>
        <w:spacing w:before="0"/>
        <w:rPr>
          <w:rFonts w:asciiTheme="minorHAnsi" w:hAnsiTheme="minorHAnsi" w:cstheme="minorHAnsi"/>
          <w:sz w:val="22"/>
          <w:szCs w:val="22"/>
        </w:rPr>
      </w:pPr>
      <w:r>
        <w:rPr>
          <w:rFonts w:asciiTheme="minorHAnsi" w:hAnsiTheme="minorHAnsi" w:cstheme="minorHAnsi"/>
          <w:sz w:val="22"/>
          <w:szCs w:val="22"/>
        </w:rPr>
        <w:t>Technical knowledge on climate change adaptation and health, climate change impacts on health and/or health sector</w:t>
      </w:r>
    </w:p>
    <w:p w14:paraId="74003AB6" w14:textId="461E7100" w:rsidR="006E4CD1" w:rsidRPr="009D420B" w:rsidRDefault="00F13D9E" w:rsidP="009D420B">
      <w:pPr>
        <w:pStyle w:val="ListParagraph"/>
        <w:numPr>
          <w:ilvl w:val="0"/>
          <w:numId w:val="16"/>
        </w:numPr>
        <w:spacing w:before="0"/>
        <w:rPr>
          <w:rFonts w:asciiTheme="minorHAnsi" w:hAnsiTheme="minorHAnsi" w:cstheme="minorHAnsi"/>
          <w:sz w:val="22"/>
          <w:szCs w:val="22"/>
        </w:rPr>
      </w:pPr>
      <w:r>
        <w:rPr>
          <w:rFonts w:asciiTheme="minorHAnsi" w:hAnsiTheme="minorHAnsi" w:cstheme="minorHAnsi"/>
          <w:sz w:val="22"/>
          <w:szCs w:val="22"/>
        </w:rPr>
        <w:t>Experience</w:t>
      </w:r>
      <w:r w:rsidR="006E4CD1" w:rsidRPr="009D420B">
        <w:rPr>
          <w:rFonts w:asciiTheme="minorHAnsi" w:hAnsiTheme="minorHAnsi" w:cstheme="minorHAnsi"/>
          <w:sz w:val="22"/>
          <w:szCs w:val="22"/>
        </w:rPr>
        <w:t xml:space="preserve"> in environmental and climate finance</w:t>
      </w:r>
      <w:r w:rsidR="00CF3E6E" w:rsidRPr="009D420B">
        <w:rPr>
          <w:rFonts w:asciiTheme="minorHAnsi" w:hAnsiTheme="minorHAnsi" w:cstheme="minorHAnsi"/>
          <w:sz w:val="22"/>
          <w:szCs w:val="22"/>
        </w:rPr>
        <w:t xml:space="preserve"> including both public and private international sources</w:t>
      </w:r>
      <w:r w:rsidR="006E4CD1" w:rsidRPr="009D420B">
        <w:rPr>
          <w:rFonts w:asciiTheme="minorHAnsi" w:hAnsiTheme="minorHAnsi" w:cstheme="minorHAnsi"/>
          <w:sz w:val="22"/>
          <w:szCs w:val="22"/>
        </w:rPr>
        <w:t>.</w:t>
      </w:r>
    </w:p>
    <w:p w14:paraId="78867753" w14:textId="1A38E6CF" w:rsidR="00CF3E6E" w:rsidRPr="009D420B" w:rsidRDefault="00F13D9E" w:rsidP="009D420B">
      <w:pPr>
        <w:pStyle w:val="ListParagraph"/>
        <w:numPr>
          <w:ilvl w:val="0"/>
          <w:numId w:val="16"/>
        </w:numPr>
        <w:spacing w:before="0"/>
        <w:rPr>
          <w:rFonts w:asciiTheme="minorHAnsi" w:hAnsiTheme="minorHAnsi" w:cstheme="minorHAnsi"/>
          <w:sz w:val="22"/>
          <w:szCs w:val="22"/>
        </w:rPr>
      </w:pPr>
      <w:r>
        <w:rPr>
          <w:rFonts w:asciiTheme="minorHAnsi" w:hAnsiTheme="minorHAnsi" w:cstheme="minorHAnsi"/>
          <w:sz w:val="22"/>
          <w:szCs w:val="22"/>
        </w:rPr>
        <w:t>Experienced</w:t>
      </w:r>
      <w:r w:rsidR="00CF3E6E" w:rsidRPr="009D420B">
        <w:rPr>
          <w:rFonts w:asciiTheme="minorHAnsi" w:hAnsiTheme="minorHAnsi" w:cstheme="minorHAnsi"/>
          <w:sz w:val="22"/>
          <w:szCs w:val="22"/>
        </w:rPr>
        <w:t xml:space="preserve"> </w:t>
      </w:r>
      <w:r>
        <w:rPr>
          <w:rFonts w:asciiTheme="minorHAnsi" w:hAnsiTheme="minorHAnsi" w:cstheme="minorHAnsi"/>
          <w:sz w:val="22"/>
          <w:szCs w:val="22"/>
        </w:rPr>
        <w:t>in</w:t>
      </w:r>
      <w:r w:rsidR="00CF3E6E" w:rsidRPr="009D420B">
        <w:rPr>
          <w:rFonts w:asciiTheme="minorHAnsi" w:hAnsiTheme="minorHAnsi" w:cstheme="minorHAnsi"/>
          <w:sz w:val="22"/>
          <w:szCs w:val="22"/>
        </w:rPr>
        <w:t xml:space="preserve"> working</w:t>
      </w:r>
      <w:r>
        <w:rPr>
          <w:rFonts w:asciiTheme="minorHAnsi" w:hAnsiTheme="minorHAnsi" w:cstheme="minorHAnsi"/>
          <w:sz w:val="22"/>
          <w:szCs w:val="22"/>
        </w:rPr>
        <w:t xml:space="preserve"> with</w:t>
      </w:r>
      <w:r w:rsidR="00CF3E6E" w:rsidRPr="009D420B">
        <w:rPr>
          <w:rFonts w:asciiTheme="minorHAnsi" w:hAnsiTheme="minorHAnsi" w:cstheme="minorHAnsi"/>
          <w:sz w:val="22"/>
          <w:szCs w:val="22"/>
        </w:rPr>
        <w:t xml:space="preserve"> the Global Environment Facility and Green Climate Fund</w:t>
      </w:r>
      <w:r>
        <w:rPr>
          <w:rFonts w:asciiTheme="minorHAnsi" w:hAnsiTheme="minorHAnsi" w:cstheme="minorHAnsi"/>
          <w:sz w:val="22"/>
          <w:szCs w:val="22"/>
        </w:rPr>
        <w:t xml:space="preserve"> projects/</w:t>
      </w:r>
      <w:proofErr w:type="spellStart"/>
      <w:r>
        <w:rPr>
          <w:rFonts w:asciiTheme="minorHAnsi" w:hAnsiTheme="minorHAnsi" w:cstheme="minorHAnsi"/>
          <w:sz w:val="22"/>
          <w:szCs w:val="22"/>
        </w:rPr>
        <w:t>programmes</w:t>
      </w:r>
      <w:proofErr w:type="spellEnd"/>
    </w:p>
    <w:p w14:paraId="33F66A09" w14:textId="4E8572EB" w:rsidR="00A02433" w:rsidRPr="005F756A" w:rsidRDefault="00CF3E6E" w:rsidP="00A02433">
      <w:pPr>
        <w:pStyle w:val="ListParagraph"/>
        <w:numPr>
          <w:ilvl w:val="0"/>
          <w:numId w:val="16"/>
        </w:numPr>
        <w:spacing w:before="0"/>
        <w:rPr>
          <w:rFonts w:asciiTheme="minorHAnsi" w:hAnsiTheme="minorHAnsi" w:cstheme="minorHAnsi"/>
          <w:sz w:val="22"/>
          <w:szCs w:val="22"/>
        </w:rPr>
      </w:pPr>
      <w:r w:rsidRPr="009D420B">
        <w:rPr>
          <w:rFonts w:asciiTheme="minorHAnsi" w:hAnsiTheme="minorHAnsi" w:cstheme="minorHAnsi"/>
          <w:sz w:val="22"/>
          <w:szCs w:val="22"/>
        </w:rPr>
        <w:t xml:space="preserve">Extensive experience in securing public funds for environmental and climate projects; </w:t>
      </w:r>
    </w:p>
    <w:p w14:paraId="0F4EBB68" w14:textId="77777777" w:rsidR="00A02433" w:rsidRPr="009D420B" w:rsidRDefault="00A02433" w:rsidP="00A02433">
      <w:pPr>
        <w:rPr>
          <w:rFonts w:cstheme="minorHAnsi"/>
          <w:b/>
        </w:rPr>
      </w:pPr>
      <w:r w:rsidRPr="009D420B">
        <w:rPr>
          <w:rFonts w:cstheme="minorHAnsi"/>
          <w:b/>
        </w:rPr>
        <w:t>Functional:</w:t>
      </w:r>
    </w:p>
    <w:p w14:paraId="5A7839FB" w14:textId="77777777" w:rsidR="00A02433" w:rsidRPr="009D420B" w:rsidRDefault="00A02433" w:rsidP="00A02433">
      <w:pPr>
        <w:rPr>
          <w:rFonts w:cstheme="minorHAnsi"/>
          <w:u w:val="single"/>
        </w:rPr>
      </w:pPr>
      <w:r w:rsidRPr="009D420B">
        <w:rPr>
          <w:rFonts w:cstheme="minorHAnsi"/>
          <w:u w:val="single"/>
        </w:rPr>
        <w:t>Communications</w:t>
      </w:r>
    </w:p>
    <w:p w14:paraId="51552AAC" w14:textId="77777777" w:rsidR="00A02433" w:rsidRPr="009D420B" w:rsidRDefault="00A02433" w:rsidP="00A02433">
      <w:pPr>
        <w:pStyle w:val="ListParagraph"/>
        <w:numPr>
          <w:ilvl w:val="0"/>
          <w:numId w:val="28"/>
        </w:numPr>
        <w:spacing w:before="0"/>
        <w:jc w:val="left"/>
        <w:rPr>
          <w:rFonts w:asciiTheme="minorHAnsi" w:hAnsiTheme="minorHAnsi" w:cstheme="minorHAnsi"/>
          <w:b/>
          <w:sz w:val="22"/>
          <w:szCs w:val="22"/>
        </w:rPr>
      </w:pPr>
      <w:r w:rsidRPr="009D420B">
        <w:rPr>
          <w:rFonts w:asciiTheme="minorHAnsi" w:hAnsiTheme="minorHAnsi" w:cstheme="minorHAnsi"/>
          <w:sz w:val="22"/>
          <w:szCs w:val="22"/>
        </w:rPr>
        <w:t>Able to communicate effectively in writing to a varied and broad audience in a simple and concise manner.</w:t>
      </w:r>
    </w:p>
    <w:p w14:paraId="48BB198D" w14:textId="77777777" w:rsidR="00A02433" w:rsidRPr="009D420B" w:rsidRDefault="00A02433" w:rsidP="00A02433">
      <w:pPr>
        <w:rPr>
          <w:rFonts w:cstheme="minorHAnsi"/>
          <w:b/>
        </w:rPr>
      </w:pPr>
      <w:r w:rsidRPr="009D420B">
        <w:rPr>
          <w:rFonts w:cstheme="minorHAnsi"/>
          <w:u w:val="single"/>
        </w:rPr>
        <w:t>Professionalism</w:t>
      </w:r>
    </w:p>
    <w:p w14:paraId="4CD02411" w14:textId="77777777" w:rsidR="00A02433" w:rsidRPr="009D420B" w:rsidRDefault="00A02433" w:rsidP="00A02433">
      <w:pPr>
        <w:pStyle w:val="ListParagraph"/>
        <w:numPr>
          <w:ilvl w:val="0"/>
          <w:numId w:val="30"/>
        </w:numPr>
        <w:spacing w:before="0"/>
        <w:jc w:val="left"/>
        <w:rPr>
          <w:rFonts w:asciiTheme="minorHAnsi" w:hAnsiTheme="minorHAnsi" w:cstheme="minorHAnsi"/>
          <w:sz w:val="22"/>
          <w:szCs w:val="22"/>
        </w:rPr>
      </w:pPr>
      <w:r w:rsidRPr="009D420B">
        <w:rPr>
          <w:rFonts w:asciiTheme="minorHAnsi" w:hAnsiTheme="minorHAnsi" w:cstheme="minorHAnsi"/>
          <w:sz w:val="22"/>
          <w:szCs w:val="22"/>
        </w:rPr>
        <w:t>Capable of working in a high- pressure environment with sharp and frequent deadlines, managing many tasks simultaneously;</w:t>
      </w:r>
    </w:p>
    <w:p w14:paraId="680484F4" w14:textId="77777777" w:rsidR="00A02433" w:rsidRPr="009D420B" w:rsidRDefault="00A02433" w:rsidP="00A02433">
      <w:pPr>
        <w:pStyle w:val="ListParagraph"/>
        <w:numPr>
          <w:ilvl w:val="0"/>
          <w:numId w:val="28"/>
        </w:numPr>
        <w:spacing w:before="0"/>
        <w:jc w:val="left"/>
        <w:rPr>
          <w:rFonts w:asciiTheme="minorHAnsi" w:hAnsiTheme="minorHAnsi" w:cstheme="minorHAnsi"/>
          <w:sz w:val="22"/>
          <w:szCs w:val="22"/>
        </w:rPr>
      </w:pPr>
      <w:r w:rsidRPr="009D420B">
        <w:rPr>
          <w:rFonts w:asciiTheme="minorHAnsi" w:hAnsiTheme="minorHAnsi" w:cstheme="minorHAnsi"/>
          <w:sz w:val="22"/>
          <w:szCs w:val="22"/>
        </w:rPr>
        <w:t>Excellent analytical and organizational skills;</w:t>
      </w:r>
    </w:p>
    <w:p w14:paraId="106D6A3F" w14:textId="77777777" w:rsidR="00A02433" w:rsidRPr="009D420B" w:rsidRDefault="00A02433" w:rsidP="00A02433">
      <w:pPr>
        <w:pStyle w:val="ListParagraph"/>
        <w:numPr>
          <w:ilvl w:val="0"/>
          <w:numId w:val="28"/>
        </w:numPr>
        <w:spacing w:before="0"/>
        <w:jc w:val="left"/>
        <w:rPr>
          <w:rFonts w:asciiTheme="minorHAnsi" w:hAnsiTheme="minorHAnsi" w:cstheme="minorHAnsi"/>
          <w:sz w:val="22"/>
          <w:szCs w:val="22"/>
        </w:rPr>
      </w:pPr>
      <w:r w:rsidRPr="009D420B">
        <w:rPr>
          <w:rFonts w:asciiTheme="minorHAnsi" w:hAnsiTheme="minorHAnsi" w:cstheme="minorHAnsi"/>
          <w:sz w:val="22"/>
          <w:szCs w:val="22"/>
        </w:rPr>
        <w:t>Exercises the highest level of responsibility and be able to handle confidential and politically sensitive issues in a responsible and mature manner.</w:t>
      </w:r>
    </w:p>
    <w:p w14:paraId="5091B20D" w14:textId="77777777" w:rsidR="00A02433" w:rsidRPr="009D420B" w:rsidRDefault="00A02433" w:rsidP="00A02433">
      <w:pPr>
        <w:spacing w:before="100" w:beforeAutospacing="1" w:after="100" w:afterAutospacing="1"/>
        <w:contextualSpacing/>
        <w:jc w:val="both"/>
        <w:rPr>
          <w:rFonts w:cstheme="minorHAnsi"/>
          <w:color w:val="333333"/>
          <w:u w:val="single"/>
          <w:lang w:val="en-GB"/>
        </w:rPr>
      </w:pPr>
      <w:r w:rsidRPr="009D420B">
        <w:rPr>
          <w:rFonts w:cstheme="minorHAnsi"/>
          <w:bCs/>
          <w:color w:val="333333"/>
          <w:u w:val="single"/>
          <w:lang w:val="en-GB"/>
        </w:rPr>
        <w:t xml:space="preserve">Teamwork </w:t>
      </w:r>
    </w:p>
    <w:p w14:paraId="00687B49" w14:textId="77777777" w:rsidR="00A02433" w:rsidRPr="009D420B" w:rsidRDefault="00A02433" w:rsidP="00A02433">
      <w:pPr>
        <w:numPr>
          <w:ilvl w:val="0"/>
          <w:numId w:val="29"/>
        </w:numPr>
        <w:spacing w:before="100" w:beforeAutospacing="1" w:after="100" w:afterAutospacing="1" w:line="240" w:lineRule="auto"/>
        <w:ind w:left="750"/>
        <w:contextualSpacing/>
        <w:jc w:val="both"/>
        <w:rPr>
          <w:rFonts w:cstheme="minorHAnsi"/>
          <w:color w:val="333333"/>
          <w:lang w:val="en-GB"/>
        </w:rPr>
      </w:pPr>
      <w:r w:rsidRPr="009D420B">
        <w:rPr>
          <w:rFonts w:cstheme="minorHAnsi"/>
          <w:color w:val="333333"/>
          <w:lang w:val="en-GB"/>
        </w:rPr>
        <w:t>Works well in a team;</w:t>
      </w:r>
    </w:p>
    <w:p w14:paraId="434E5BD6" w14:textId="77777777" w:rsidR="00A02433" w:rsidRPr="009D420B" w:rsidRDefault="00A02433" w:rsidP="00A02433">
      <w:pPr>
        <w:numPr>
          <w:ilvl w:val="0"/>
          <w:numId w:val="29"/>
        </w:numPr>
        <w:spacing w:before="100" w:beforeAutospacing="1" w:after="100" w:afterAutospacing="1" w:line="240" w:lineRule="auto"/>
        <w:ind w:left="750"/>
        <w:contextualSpacing/>
        <w:jc w:val="both"/>
        <w:rPr>
          <w:rFonts w:cstheme="minorHAnsi"/>
          <w:color w:val="333333"/>
          <w:lang w:val="en-GB"/>
        </w:rPr>
      </w:pPr>
      <w:r w:rsidRPr="009D420B">
        <w:rPr>
          <w:rFonts w:cstheme="minorHAnsi"/>
          <w:color w:val="333333"/>
          <w:lang w:val="en-GB"/>
        </w:rPr>
        <w:lastRenderedPageBreak/>
        <w:t>Projects a positive image and is ready to take on a wide range of tasks;</w:t>
      </w:r>
    </w:p>
    <w:p w14:paraId="3026030D" w14:textId="77777777" w:rsidR="00A02433" w:rsidRPr="009D420B" w:rsidRDefault="00A02433" w:rsidP="00A02433">
      <w:pPr>
        <w:numPr>
          <w:ilvl w:val="0"/>
          <w:numId w:val="29"/>
        </w:numPr>
        <w:spacing w:before="100" w:beforeAutospacing="1" w:after="100" w:afterAutospacing="1" w:line="240" w:lineRule="auto"/>
        <w:ind w:left="750"/>
        <w:contextualSpacing/>
        <w:jc w:val="both"/>
        <w:rPr>
          <w:rFonts w:cstheme="minorHAnsi"/>
          <w:color w:val="333333"/>
          <w:lang w:val="en-GB"/>
        </w:rPr>
      </w:pPr>
      <w:r w:rsidRPr="009D420B">
        <w:rPr>
          <w:rFonts w:cstheme="minorHAnsi"/>
          <w:color w:val="333333"/>
          <w:lang w:val="en-GB"/>
        </w:rPr>
        <w:t xml:space="preserve">Focuses on results for the client; </w:t>
      </w:r>
    </w:p>
    <w:p w14:paraId="3D4FD793" w14:textId="77777777" w:rsidR="00A02433" w:rsidRPr="009D420B" w:rsidRDefault="00A02433" w:rsidP="00A02433">
      <w:pPr>
        <w:pStyle w:val="ListParagraph"/>
        <w:numPr>
          <w:ilvl w:val="0"/>
          <w:numId w:val="29"/>
        </w:numPr>
        <w:spacing w:before="0"/>
        <w:jc w:val="left"/>
        <w:rPr>
          <w:rFonts w:asciiTheme="minorHAnsi" w:hAnsiTheme="minorHAnsi" w:cstheme="minorHAnsi"/>
          <w:b/>
          <w:sz w:val="22"/>
          <w:szCs w:val="22"/>
        </w:rPr>
      </w:pPr>
      <w:r w:rsidRPr="009D420B">
        <w:rPr>
          <w:rFonts w:asciiTheme="minorHAnsi" w:hAnsiTheme="minorHAnsi" w:cstheme="minorHAnsi"/>
          <w:color w:val="333333"/>
          <w:sz w:val="22"/>
          <w:szCs w:val="22"/>
          <w:lang w:val="en-GB"/>
        </w:rPr>
        <w:t>Welcomes constructive feedback.</w:t>
      </w:r>
    </w:p>
    <w:p w14:paraId="3B0DF1AD" w14:textId="77777777" w:rsidR="00A02433" w:rsidRPr="009D420B" w:rsidRDefault="00A02433" w:rsidP="00A02433">
      <w:pPr>
        <w:rPr>
          <w:rFonts w:cstheme="minorHAnsi"/>
          <w:b/>
        </w:rPr>
      </w:pPr>
    </w:p>
    <w:p w14:paraId="32830CF9" w14:textId="77777777" w:rsidR="00A02433" w:rsidRPr="009D420B" w:rsidRDefault="00A02433" w:rsidP="00A02433">
      <w:pPr>
        <w:rPr>
          <w:rFonts w:cstheme="minorHAnsi"/>
          <w:b/>
        </w:rPr>
      </w:pPr>
      <w:r w:rsidRPr="009D420B">
        <w:rPr>
          <w:rFonts w:cstheme="minorHAnsi"/>
          <w:b/>
        </w:rPr>
        <w:t>Qualifications:</w:t>
      </w:r>
    </w:p>
    <w:p w14:paraId="7D1E1A82" w14:textId="77777777" w:rsidR="007E4790" w:rsidRPr="009D420B" w:rsidRDefault="00A02433" w:rsidP="00A02433">
      <w:pPr>
        <w:rPr>
          <w:rFonts w:cstheme="minorHAnsi"/>
          <w:b/>
        </w:rPr>
      </w:pPr>
      <w:r w:rsidRPr="009D420B">
        <w:rPr>
          <w:rFonts w:cstheme="minorHAnsi"/>
          <w:b/>
        </w:rPr>
        <w:t>Education:</w:t>
      </w:r>
    </w:p>
    <w:p w14:paraId="4D6CA686" w14:textId="32921A39" w:rsidR="007E4790" w:rsidRPr="009D420B" w:rsidRDefault="007E4790" w:rsidP="00A02433">
      <w:pPr>
        <w:numPr>
          <w:ilvl w:val="0"/>
          <w:numId w:val="13"/>
        </w:numPr>
        <w:spacing w:before="100" w:beforeAutospacing="1" w:after="100" w:afterAutospacing="1" w:line="240" w:lineRule="auto"/>
        <w:contextualSpacing/>
        <w:rPr>
          <w:rFonts w:cstheme="minorHAnsi"/>
        </w:rPr>
      </w:pPr>
      <w:r w:rsidRPr="009D420B">
        <w:rPr>
          <w:rFonts w:cstheme="minorHAnsi"/>
        </w:rPr>
        <w:t>Master´s degree or higher in environmental economics,</w:t>
      </w:r>
      <w:r w:rsidR="000458F5">
        <w:rPr>
          <w:rFonts w:cstheme="minorHAnsi"/>
        </w:rPr>
        <w:t xml:space="preserve"> </w:t>
      </w:r>
      <w:r w:rsidRPr="009D420B">
        <w:rPr>
          <w:rFonts w:cstheme="minorHAnsi"/>
        </w:rPr>
        <w:t>environmental science</w:t>
      </w:r>
      <w:r w:rsidR="000458F5">
        <w:rPr>
          <w:rFonts w:cstheme="minorHAnsi"/>
        </w:rPr>
        <w:t xml:space="preserve">, </w:t>
      </w:r>
      <w:r w:rsidR="00F13D9E">
        <w:rPr>
          <w:rFonts w:cstheme="minorHAnsi"/>
        </w:rPr>
        <w:t>health</w:t>
      </w:r>
      <w:r w:rsidRPr="009D420B">
        <w:rPr>
          <w:rFonts w:cstheme="minorHAnsi"/>
        </w:rPr>
        <w:t xml:space="preserve"> or other closely related field (maximum </w:t>
      </w:r>
      <w:r w:rsidR="00192E47">
        <w:rPr>
          <w:rFonts w:cstheme="minorHAnsi"/>
        </w:rPr>
        <w:t>15</w:t>
      </w:r>
      <w:r w:rsidR="00192E47" w:rsidRPr="009D420B">
        <w:rPr>
          <w:rFonts w:cstheme="minorHAnsi"/>
        </w:rPr>
        <w:t xml:space="preserve"> </w:t>
      </w:r>
      <w:r w:rsidRPr="009D420B">
        <w:rPr>
          <w:rFonts w:cstheme="minorHAnsi"/>
        </w:rPr>
        <w:t xml:space="preserve">points). </w:t>
      </w:r>
    </w:p>
    <w:p w14:paraId="1285451B" w14:textId="77777777" w:rsidR="007E4790" w:rsidRPr="009D420B" w:rsidRDefault="007E4790" w:rsidP="007E4790">
      <w:pPr>
        <w:spacing w:before="100" w:beforeAutospacing="1" w:after="100" w:afterAutospacing="1" w:line="240" w:lineRule="auto"/>
        <w:ind w:left="720"/>
        <w:contextualSpacing/>
        <w:rPr>
          <w:rFonts w:cstheme="minorHAnsi"/>
        </w:rPr>
      </w:pPr>
    </w:p>
    <w:p w14:paraId="76EB3485" w14:textId="674E99BC" w:rsidR="00A02433" w:rsidRPr="009D420B" w:rsidRDefault="00A02433" w:rsidP="00A02433">
      <w:pPr>
        <w:rPr>
          <w:rFonts w:cstheme="minorHAnsi"/>
          <w:b/>
        </w:rPr>
      </w:pPr>
      <w:r w:rsidRPr="009D420B">
        <w:rPr>
          <w:rFonts w:cstheme="minorHAnsi"/>
          <w:b/>
        </w:rPr>
        <w:t>Experience:</w:t>
      </w:r>
    </w:p>
    <w:p w14:paraId="32DDC91A" w14:textId="1396CDD7" w:rsidR="007E4790" w:rsidRPr="009D420B" w:rsidRDefault="007E4790" w:rsidP="007E4790">
      <w:pPr>
        <w:numPr>
          <w:ilvl w:val="0"/>
          <w:numId w:val="13"/>
        </w:numPr>
        <w:spacing w:before="100" w:beforeAutospacing="1" w:after="100" w:afterAutospacing="1" w:line="240" w:lineRule="auto"/>
        <w:jc w:val="both"/>
        <w:rPr>
          <w:rFonts w:cstheme="minorHAnsi"/>
        </w:rPr>
      </w:pPr>
      <w:r w:rsidRPr="009D420B">
        <w:rPr>
          <w:rFonts w:cstheme="minorHAnsi"/>
        </w:rPr>
        <w:t xml:space="preserve">Minimum of 10 years’ experience working with developing countries </w:t>
      </w:r>
      <w:r w:rsidR="000458F5">
        <w:rPr>
          <w:rFonts w:cstheme="minorHAnsi"/>
        </w:rPr>
        <w:t>in</w:t>
      </w:r>
      <w:r w:rsidRPr="009D420B">
        <w:rPr>
          <w:rFonts w:cstheme="minorHAnsi"/>
        </w:rPr>
        <w:t xml:space="preserve"> </w:t>
      </w:r>
      <w:r w:rsidR="000458F5">
        <w:rPr>
          <w:rFonts w:cstheme="minorHAnsi"/>
        </w:rPr>
        <w:t xml:space="preserve">climate change adaptation, </w:t>
      </w:r>
      <w:r w:rsidR="00F13D9E">
        <w:rPr>
          <w:rFonts w:cstheme="minorHAnsi"/>
        </w:rPr>
        <w:t>health</w:t>
      </w:r>
      <w:r w:rsidRPr="009D420B">
        <w:rPr>
          <w:rFonts w:cstheme="minorHAnsi"/>
        </w:rPr>
        <w:t xml:space="preserve"> </w:t>
      </w:r>
      <w:r w:rsidR="000458F5">
        <w:rPr>
          <w:rFonts w:cstheme="minorHAnsi"/>
        </w:rPr>
        <w:t>or other closely related field</w:t>
      </w:r>
      <w:r w:rsidR="00F13D9E">
        <w:rPr>
          <w:rFonts w:cstheme="minorHAnsi"/>
        </w:rPr>
        <w:t xml:space="preserve"> </w:t>
      </w:r>
      <w:r w:rsidRPr="009D420B">
        <w:rPr>
          <w:rFonts w:cstheme="minorHAnsi"/>
        </w:rPr>
        <w:t xml:space="preserve">(maximum </w:t>
      </w:r>
      <w:r w:rsidR="00E251B7">
        <w:rPr>
          <w:rFonts w:cstheme="minorHAnsi"/>
        </w:rPr>
        <w:t>15</w:t>
      </w:r>
      <w:r w:rsidR="00E251B7" w:rsidRPr="009D420B">
        <w:rPr>
          <w:rFonts w:cstheme="minorHAnsi"/>
        </w:rPr>
        <w:t xml:space="preserve"> </w:t>
      </w:r>
      <w:r w:rsidRPr="009D420B">
        <w:rPr>
          <w:rFonts w:cstheme="minorHAnsi"/>
        </w:rPr>
        <w:t>points);</w:t>
      </w:r>
    </w:p>
    <w:p w14:paraId="0178AE1C" w14:textId="19326283" w:rsidR="007E4790" w:rsidRPr="009D420B" w:rsidRDefault="007E4790" w:rsidP="007E4790">
      <w:pPr>
        <w:numPr>
          <w:ilvl w:val="0"/>
          <w:numId w:val="13"/>
        </w:numPr>
        <w:spacing w:before="100" w:beforeAutospacing="1" w:after="100" w:afterAutospacing="1" w:line="240" w:lineRule="auto"/>
        <w:jc w:val="both"/>
        <w:rPr>
          <w:rFonts w:cstheme="minorHAnsi"/>
        </w:rPr>
      </w:pPr>
      <w:r w:rsidRPr="009D420B">
        <w:rPr>
          <w:rFonts w:cstheme="minorHAnsi"/>
        </w:rPr>
        <w:t xml:space="preserve">Experience with project development </w:t>
      </w:r>
      <w:r w:rsidR="00F13D9E">
        <w:rPr>
          <w:rFonts w:cstheme="minorHAnsi"/>
        </w:rPr>
        <w:t>and managing multidisciplinary project development team s</w:t>
      </w:r>
      <w:r w:rsidR="00192E47">
        <w:rPr>
          <w:rFonts w:cstheme="minorHAnsi"/>
        </w:rPr>
        <w:t xml:space="preserve"> </w:t>
      </w:r>
      <w:r w:rsidRPr="009D420B">
        <w:rPr>
          <w:rFonts w:cstheme="minorHAnsi"/>
        </w:rPr>
        <w:t xml:space="preserve">(maximum </w:t>
      </w:r>
      <w:r w:rsidR="009F033D" w:rsidRPr="009D420B">
        <w:rPr>
          <w:rFonts w:cstheme="minorHAnsi"/>
        </w:rPr>
        <w:t xml:space="preserve">10 </w:t>
      </w:r>
      <w:r w:rsidRPr="009D420B">
        <w:rPr>
          <w:rFonts w:cstheme="minorHAnsi"/>
        </w:rPr>
        <w:t>points);</w:t>
      </w:r>
    </w:p>
    <w:p w14:paraId="0DBC1C7A" w14:textId="7DB1827A" w:rsidR="007E4790" w:rsidRPr="009D420B" w:rsidRDefault="007E4790" w:rsidP="007E4790">
      <w:pPr>
        <w:numPr>
          <w:ilvl w:val="0"/>
          <w:numId w:val="13"/>
        </w:numPr>
        <w:spacing w:before="100" w:beforeAutospacing="1" w:after="100" w:afterAutospacing="1" w:line="240" w:lineRule="auto"/>
        <w:jc w:val="both"/>
        <w:rPr>
          <w:rFonts w:cstheme="minorHAnsi"/>
        </w:rPr>
      </w:pPr>
      <w:r w:rsidRPr="009D420B">
        <w:rPr>
          <w:rFonts w:cstheme="minorHAnsi"/>
        </w:rPr>
        <w:t xml:space="preserve">At least 5 years of experience working in </w:t>
      </w:r>
      <w:r w:rsidR="00365BE1">
        <w:rPr>
          <w:rFonts w:cstheme="minorHAnsi"/>
        </w:rPr>
        <w:t xml:space="preserve">vertical fund programming (GEF or GCF in particular) </w:t>
      </w:r>
      <w:r w:rsidR="00CF3E6E" w:rsidRPr="009D420B">
        <w:rPr>
          <w:rFonts w:cstheme="minorHAnsi"/>
        </w:rPr>
        <w:t>(maximum 5 points);</w:t>
      </w:r>
    </w:p>
    <w:p w14:paraId="48462439" w14:textId="5FEA3E19" w:rsidR="007E4790" w:rsidRPr="009D420B" w:rsidRDefault="007E4790" w:rsidP="007E4790">
      <w:pPr>
        <w:numPr>
          <w:ilvl w:val="0"/>
          <w:numId w:val="13"/>
        </w:numPr>
        <w:spacing w:before="100" w:beforeAutospacing="1" w:after="100" w:afterAutospacing="1" w:line="240" w:lineRule="auto"/>
        <w:jc w:val="both"/>
        <w:rPr>
          <w:rFonts w:cstheme="minorHAnsi"/>
        </w:rPr>
      </w:pPr>
      <w:r w:rsidRPr="009D420B">
        <w:rPr>
          <w:rFonts w:cstheme="minorHAnsi"/>
        </w:rPr>
        <w:t>Experience in design and implementation of multi-sectoral</w:t>
      </w:r>
      <w:r w:rsidR="00365BE1">
        <w:rPr>
          <w:rFonts w:cstheme="minorHAnsi"/>
        </w:rPr>
        <w:t xml:space="preserve"> and multi-country</w:t>
      </w:r>
      <w:r w:rsidRPr="009D420B">
        <w:rPr>
          <w:rFonts w:cstheme="minorHAnsi"/>
        </w:rPr>
        <w:t xml:space="preserve"> </w:t>
      </w:r>
      <w:proofErr w:type="spellStart"/>
      <w:r w:rsidRPr="009D420B">
        <w:rPr>
          <w:rFonts w:cstheme="minorHAnsi"/>
        </w:rPr>
        <w:t>programmes</w:t>
      </w:r>
      <w:proofErr w:type="spellEnd"/>
      <w:r w:rsidRPr="009D420B">
        <w:rPr>
          <w:rFonts w:cstheme="minorHAnsi"/>
        </w:rPr>
        <w:t xml:space="preserve"> and projects at different scales (maximum </w:t>
      </w:r>
      <w:r w:rsidR="00703582" w:rsidRPr="009D420B">
        <w:rPr>
          <w:rFonts w:cstheme="minorHAnsi"/>
        </w:rPr>
        <w:t>15</w:t>
      </w:r>
      <w:r w:rsidR="009F033D" w:rsidRPr="009D420B">
        <w:rPr>
          <w:rFonts w:cstheme="minorHAnsi"/>
        </w:rPr>
        <w:t xml:space="preserve"> </w:t>
      </w:r>
      <w:r w:rsidRPr="009D420B">
        <w:rPr>
          <w:rFonts w:cstheme="minorHAnsi"/>
        </w:rPr>
        <w:t xml:space="preserve">points); </w:t>
      </w:r>
    </w:p>
    <w:p w14:paraId="445755A9" w14:textId="6B11A03E" w:rsidR="008560C1" w:rsidRPr="009D420B" w:rsidRDefault="007E4790" w:rsidP="007E4790">
      <w:pPr>
        <w:numPr>
          <w:ilvl w:val="0"/>
          <w:numId w:val="13"/>
        </w:numPr>
        <w:spacing w:before="100" w:beforeAutospacing="1" w:after="100" w:afterAutospacing="1" w:line="240" w:lineRule="auto"/>
        <w:jc w:val="both"/>
        <w:rPr>
          <w:rFonts w:cstheme="minorHAnsi"/>
        </w:rPr>
      </w:pPr>
      <w:r w:rsidRPr="009D420B">
        <w:rPr>
          <w:rFonts w:cstheme="minorHAnsi"/>
        </w:rPr>
        <w:t xml:space="preserve">Experience working in </w:t>
      </w:r>
      <w:r w:rsidR="00F13D9E">
        <w:rPr>
          <w:rFonts w:cstheme="minorHAnsi"/>
        </w:rPr>
        <w:t>EECCA region</w:t>
      </w:r>
      <w:r w:rsidRPr="009D420B">
        <w:rPr>
          <w:rFonts w:cstheme="minorHAnsi"/>
        </w:rPr>
        <w:t xml:space="preserve"> would be an asset (maximum </w:t>
      </w:r>
      <w:r w:rsidR="00703582" w:rsidRPr="009D420B">
        <w:rPr>
          <w:rFonts w:cstheme="minorHAnsi"/>
        </w:rPr>
        <w:t>5</w:t>
      </w:r>
      <w:r w:rsidR="009F033D" w:rsidRPr="009D420B">
        <w:rPr>
          <w:rFonts w:cstheme="minorHAnsi"/>
        </w:rPr>
        <w:t xml:space="preserve"> </w:t>
      </w:r>
      <w:r w:rsidRPr="009D420B">
        <w:rPr>
          <w:rFonts w:cstheme="minorHAnsi"/>
        </w:rPr>
        <w:t>points);</w:t>
      </w:r>
    </w:p>
    <w:p w14:paraId="29101CB6" w14:textId="0A9EDD16" w:rsidR="008560C1" w:rsidRPr="009D420B" w:rsidRDefault="007E4790" w:rsidP="009D420B">
      <w:pPr>
        <w:numPr>
          <w:ilvl w:val="0"/>
          <w:numId w:val="13"/>
        </w:numPr>
        <w:spacing w:before="100" w:beforeAutospacing="1" w:after="100" w:afterAutospacing="1" w:line="240" w:lineRule="auto"/>
        <w:jc w:val="both"/>
        <w:rPr>
          <w:rFonts w:cstheme="minorHAnsi"/>
        </w:rPr>
      </w:pPr>
      <w:r w:rsidRPr="009D420B">
        <w:rPr>
          <w:rFonts w:cstheme="minorHAnsi"/>
        </w:rPr>
        <w:t xml:space="preserve">Working experience in an international organization is an advantage as is knowledge of UNDP policies, procedures and practices (maximum </w:t>
      </w:r>
      <w:r w:rsidR="00CF3E6E" w:rsidRPr="009D420B">
        <w:rPr>
          <w:rFonts w:cstheme="minorHAnsi"/>
        </w:rPr>
        <w:t xml:space="preserve">5 </w:t>
      </w:r>
      <w:r w:rsidRPr="009D420B">
        <w:rPr>
          <w:rFonts w:cstheme="minorHAnsi"/>
        </w:rPr>
        <w:t>points);</w:t>
      </w:r>
    </w:p>
    <w:p w14:paraId="270E2600" w14:textId="77777777" w:rsidR="00A02433" w:rsidRPr="009D420B" w:rsidRDefault="00A02433" w:rsidP="009D420B">
      <w:pPr>
        <w:spacing w:before="100" w:beforeAutospacing="1" w:after="100" w:afterAutospacing="1" w:line="240" w:lineRule="auto"/>
        <w:jc w:val="both"/>
        <w:rPr>
          <w:rFonts w:cstheme="minorHAnsi"/>
          <w:b/>
        </w:rPr>
      </w:pPr>
      <w:r w:rsidRPr="009D420B">
        <w:rPr>
          <w:rFonts w:cstheme="minorHAnsi"/>
          <w:b/>
        </w:rPr>
        <w:t>Languages:</w:t>
      </w:r>
    </w:p>
    <w:p w14:paraId="64D48FC9" w14:textId="1EC1291E" w:rsidR="00A02433" w:rsidRPr="00834D1A" w:rsidRDefault="00365BE1" w:rsidP="00834D1A">
      <w:pPr>
        <w:pStyle w:val="ListParagraph"/>
        <w:numPr>
          <w:ilvl w:val="0"/>
          <w:numId w:val="17"/>
        </w:numPr>
        <w:rPr>
          <w:rFonts w:asciiTheme="minorHAnsi" w:hAnsiTheme="minorHAnsi" w:cstheme="minorHAnsi"/>
          <w:sz w:val="22"/>
          <w:szCs w:val="22"/>
        </w:rPr>
      </w:pPr>
      <w:r w:rsidRPr="00365BE1">
        <w:rPr>
          <w:rFonts w:asciiTheme="minorHAnsi" w:hAnsiTheme="minorHAnsi" w:cstheme="minorHAnsi"/>
          <w:sz w:val="22"/>
          <w:szCs w:val="22"/>
        </w:rPr>
        <w:t>Fluency in English, both written and oral is required for this position.</w:t>
      </w:r>
    </w:p>
    <w:p w14:paraId="38F8E9B6" w14:textId="508B4E50" w:rsidR="00A02433" w:rsidRPr="009D420B" w:rsidRDefault="00A02433" w:rsidP="00A02433">
      <w:pPr>
        <w:rPr>
          <w:rFonts w:cstheme="minorHAnsi"/>
          <w:b/>
        </w:rPr>
      </w:pPr>
    </w:p>
    <w:p w14:paraId="402AC8C7" w14:textId="77777777" w:rsidR="00A02433" w:rsidRPr="009D420B" w:rsidRDefault="00A02433" w:rsidP="00A02433">
      <w:pPr>
        <w:rPr>
          <w:rFonts w:cstheme="minorHAnsi"/>
          <w:b/>
        </w:rPr>
      </w:pPr>
      <w:r w:rsidRPr="009D420B">
        <w:rPr>
          <w:rFonts w:cstheme="minorHAnsi"/>
          <w:b/>
        </w:rPr>
        <w:t>Evaluation Method:</w:t>
      </w:r>
    </w:p>
    <w:p w14:paraId="47F0B792"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Only those applications which are responsive and compliant will be evaluated.  Incomplete applications will not be considered;</w:t>
      </w:r>
    </w:p>
    <w:p w14:paraId="78BF2949"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Offers will be evaluated according to the Combined Scoring method – where the technical criteria will be weighted at 70% and the financial offer will be weighted at 30%;</w:t>
      </w:r>
    </w:p>
    <w:p w14:paraId="589FE023"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The technical criteria (education, experience, language [max. 60 points] and interview [max. 40 points]) will be based on a maximum 100 points;</w:t>
      </w:r>
    </w:p>
    <w:p w14:paraId="08667A0E"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Only the top 3 candidates that have achieved a minimum of 70 points from the review of education, experience and language will be considered for the interview;</w:t>
      </w:r>
    </w:p>
    <w:p w14:paraId="5E652EAB"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Candidates obtaining 70 per cent of the total technical points or higher in the interview will be deemed technically qualified and considered for financial evaluation;</w:t>
      </w:r>
    </w:p>
    <w:p w14:paraId="6ABC502D"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The financial proposal shall specify an all-inclusive daily fee and be structured according to the Deliverables outlined in Section III. In order to assist the requesting unit in the comparison of financial proposals, the financial proposal must additionally include a breakdown of this daily fee (including all foreseeable expenses to carry out the assignment);</w:t>
      </w:r>
    </w:p>
    <w:p w14:paraId="555CCA6E" w14:textId="77777777" w:rsidR="00F53EAB" w:rsidRPr="00F53EAB" w:rsidRDefault="00F53EAB" w:rsidP="00F53EAB">
      <w:pPr>
        <w:pStyle w:val="ListParagraph"/>
        <w:numPr>
          <w:ilvl w:val="0"/>
          <w:numId w:val="18"/>
        </w:numPr>
        <w:spacing w:before="0"/>
        <w:rPr>
          <w:rFonts w:asciiTheme="minorHAnsi" w:hAnsiTheme="minorHAnsi" w:cstheme="minorHAnsi"/>
          <w:sz w:val="22"/>
          <w:szCs w:val="22"/>
        </w:rPr>
      </w:pPr>
      <w:r w:rsidRPr="00F53EAB">
        <w:rPr>
          <w:rFonts w:asciiTheme="minorHAnsi" w:hAnsiTheme="minorHAnsi" w:cstheme="minorHAnsi"/>
          <w:sz w:val="22"/>
          <w:szCs w:val="22"/>
        </w:rPr>
        <w:t>An applicant receiving the Highest Combined Score and has accepted UNDP’s General Terms and Conditions will be awarded the contract.</w:t>
      </w:r>
    </w:p>
    <w:p w14:paraId="0A33CCD8" w14:textId="77777777" w:rsidR="009475D2" w:rsidRPr="009D420B" w:rsidRDefault="009475D2" w:rsidP="00A02433">
      <w:pPr>
        <w:rPr>
          <w:rFonts w:cstheme="minorHAnsi"/>
          <w:b/>
        </w:rPr>
      </w:pPr>
    </w:p>
    <w:p w14:paraId="164C0645" w14:textId="77777777" w:rsidR="0049544D" w:rsidRDefault="0049544D" w:rsidP="0049544D">
      <w:pPr>
        <w:pStyle w:val="NormalWeb"/>
        <w:rPr>
          <w:rFonts w:ascii="Arial" w:hAnsi="Arial" w:cs="Arial"/>
          <w:color w:val="333333"/>
        </w:rPr>
      </w:pPr>
      <w:r>
        <w:rPr>
          <w:rStyle w:val="Strong"/>
          <w:rFonts w:ascii="Arial" w:hAnsi="Arial" w:cs="Arial"/>
          <w:color w:val="333333"/>
        </w:rPr>
        <w:t>Documentation to be submitted:</w:t>
      </w:r>
    </w:p>
    <w:p w14:paraId="7D994A4C" w14:textId="77777777" w:rsidR="0049544D" w:rsidRDefault="0049544D" w:rsidP="0049544D">
      <w:pPr>
        <w:numPr>
          <w:ilvl w:val="0"/>
          <w:numId w:val="43"/>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Applicants must submit a duly completed and signed UNDP Personal History form (P11) and/or CV including Education/Qualification, Professional Certification, Employment Records /Experience, references/samples of previous works relevant to the assignment;</w:t>
      </w:r>
    </w:p>
    <w:p w14:paraId="7CC43F84" w14:textId="77777777" w:rsidR="0049544D" w:rsidRDefault="0049544D" w:rsidP="0049544D">
      <w:pPr>
        <w:numPr>
          <w:ilvl w:val="0"/>
          <w:numId w:val="43"/>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Applicants must reply to the mandatory questions asked by the system when submitting the application.</w:t>
      </w:r>
    </w:p>
    <w:p w14:paraId="0FC5992D" w14:textId="77777777" w:rsidR="0049544D" w:rsidRDefault="0049544D" w:rsidP="0049544D">
      <w:pPr>
        <w:numPr>
          <w:ilvl w:val="0"/>
          <w:numId w:val="43"/>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Applicants must submit a duly completed and signed Annex II </w:t>
      </w:r>
      <w:hyperlink r:id="rId16" w:history="1">
        <w:r>
          <w:rPr>
            <w:rStyle w:val="Hyperlink"/>
            <w:rFonts w:ascii="Arial" w:hAnsi="Arial" w:cs="Arial"/>
            <w:b/>
            <w:bCs/>
            <w:color w:val="0782C1"/>
            <w:sz w:val="20"/>
            <w:szCs w:val="20"/>
          </w:rPr>
          <w:t>Offeror´s letter to UNDP</w:t>
        </w:r>
      </w:hyperlink>
      <w:r>
        <w:rPr>
          <w:rFonts w:ascii="Arial" w:hAnsi="Arial" w:cs="Arial"/>
          <w:color w:val="333333"/>
          <w:sz w:val="20"/>
          <w:szCs w:val="20"/>
        </w:rPr>
        <w:t> confirming interest and availability for the Individual Contractor (IC) assignment to be downloaded from the UNDP procurement site.</w:t>
      </w:r>
    </w:p>
    <w:p w14:paraId="2A920E51" w14:textId="77777777" w:rsidR="0049544D" w:rsidRDefault="0049544D" w:rsidP="0049544D">
      <w:pPr>
        <w:pStyle w:val="NormalWeb"/>
        <w:rPr>
          <w:rFonts w:ascii="Arial" w:hAnsi="Arial" w:cs="Arial"/>
          <w:color w:val="333333"/>
        </w:rPr>
      </w:pPr>
      <w:r>
        <w:rPr>
          <w:rStyle w:val="Strong"/>
          <w:rFonts w:ascii="Arial" w:hAnsi="Arial" w:cs="Arial"/>
          <w:color w:val="333333"/>
        </w:rPr>
        <w:t>(Kindly note you can upload only ONE document to this application (scan all documents in one single PDF file to attach).</w:t>
      </w:r>
    </w:p>
    <w:p w14:paraId="403C1164" w14:textId="77777777" w:rsidR="0049544D" w:rsidRDefault="0049544D" w:rsidP="0049544D">
      <w:pPr>
        <w:pStyle w:val="NormalWeb"/>
        <w:rPr>
          <w:rFonts w:ascii="Arial" w:hAnsi="Arial" w:cs="Arial"/>
          <w:color w:val="333333"/>
        </w:rPr>
      </w:pPr>
      <w:r>
        <w:rPr>
          <w:rStyle w:val="Strong"/>
          <w:rFonts w:ascii="Arial" w:hAnsi="Arial" w:cs="Arial"/>
          <w:color w:val="333333"/>
        </w:rPr>
        <w:t>Templates can be found under the link: </w:t>
      </w:r>
    </w:p>
    <w:p w14:paraId="5B740C9B" w14:textId="77777777" w:rsidR="0049544D" w:rsidRDefault="0049544D" w:rsidP="0049544D">
      <w:pPr>
        <w:numPr>
          <w:ilvl w:val="0"/>
          <w:numId w:val="44"/>
        </w:numPr>
        <w:spacing w:before="100" w:beforeAutospacing="1" w:after="100" w:afterAutospacing="1" w:line="240" w:lineRule="auto"/>
        <w:rPr>
          <w:rFonts w:ascii="Arial" w:hAnsi="Arial" w:cs="Arial"/>
          <w:color w:val="333333"/>
          <w:sz w:val="20"/>
          <w:szCs w:val="20"/>
        </w:rPr>
      </w:pPr>
      <w:r>
        <w:rPr>
          <w:rStyle w:val="Strong"/>
          <w:rFonts w:ascii="Arial" w:hAnsi="Arial" w:cs="Arial"/>
          <w:color w:val="333333"/>
          <w:sz w:val="20"/>
          <w:szCs w:val="20"/>
        </w:rPr>
        <w:t>UNDP Personal History form (P11) required of all applicants</w:t>
      </w:r>
    </w:p>
    <w:p w14:paraId="0E148A00" w14:textId="77777777" w:rsidR="0049544D" w:rsidRDefault="0049544D" w:rsidP="0049544D">
      <w:pPr>
        <w:numPr>
          <w:ilvl w:val="0"/>
          <w:numId w:val="44"/>
        </w:numPr>
        <w:spacing w:before="100" w:beforeAutospacing="1" w:after="100" w:afterAutospacing="1" w:line="240" w:lineRule="auto"/>
        <w:rPr>
          <w:rFonts w:ascii="Arial" w:hAnsi="Arial" w:cs="Arial"/>
          <w:color w:val="333333"/>
          <w:sz w:val="20"/>
          <w:szCs w:val="20"/>
        </w:rPr>
      </w:pPr>
      <w:r>
        <w:rPr>
          <w:rStyle w:val="Strong"/>
          <w:rFonts w:ascii="Arial" w:hAnsi="Arial" w:cs="Arial"/>
          <w:color w:val="333333"/>
          <w:sz w:val="20"/>
          <w:szCs w:val="20"/>
        </w:rPr>
        <w:t>General Conditions of Contract for the ICs:</w:t>
      </w:r>
    </w:p>
    <w:p w14:paraId="44FEE6DC" w14:textId="77777777" w:rsidR="0049544D" w:rsidRDefault="0049544D" w:rsidP="0049544D">
      <w:pPr>
        <w:numPr>
          <w:ilvl w:val="0"/>
          <w:numId w:val="44"/>
        </w:numPr>
        <w:spacing w:before="100" w:beforeAutospacing="1" w:after="100" w:afterAutospacing="1" w:line="240" w:lineRule="auto"/>
        <w:rPr>
          <w:rFonts w:ascii="Arial" w:hAnsi="Arial" w:cs="Arial"/>
          <w:color w:val="333333"/>
          <w:sz w:val="20"/>
          <w:szCs w:val="20"/>
        </w:rPr>
      </w:pPr>
      <w:r>
        <w:rPr>
          <w:rStyle w:val="Strong"/>
          <w:rFonts w:ascii="Arial" w:hAnsi="Arial" w:cs="Arial"/>
          <w:color w:val="333333"/>
          <w:sz w:val="20"/>
          <w:szCs w:val="20"/>
        </w:rPr>
        <w:t>Annex II Offeror´s letter to UNDP confirming interest and availability for the Individual Contractor (IC) assignment:</w:t>
      </w:r>
      <w:r>
        <w:rPr>
          <w:rFonts w:ascii="Arial" w:hAnsi="Arial" w:cs="Arial"/>
          <w:color w:val="333333"/>
          <w:sz w:val="20"/>
          <w:szCs w:val="20"/>
        </w:rPr>
        <w:t> </w:t>
      </w:r>
      <w:hyperlink r:id="rId17" w:history="1">
        <w:r>
          <w:rPr>
            <w:rStyle w:val="Hyperlink"/>
            <w:rFonts w:ascii="Arial" w:hAnsi="Arial" w:cs="Arial"/>
            <w:color w:val="0782C1"/>
            <w:sz w:val="20"/>
            <w:szCs w:val="20"/>
          </w:rPr>
          <w:t>http://procurement-notices.undp.org/view_notice.cfm</w:t>
        </w:r>
      </w:hyperlink>
    </w:p>
    <w:p w14:paraId="672F242C" w14:textId="77777777" w:rsidR="00A02433" w:rsidRPr="009D420B" w:rsidRDefault="00A02433" w:rsidP="00A02433">
      <w:pPr>
        <w:jc w:val="center"/>
        <w:rPr>
          <w:rFonts w:cstheme="minorHAnsi"/>
          <w:b/>
          <w:bCs/>
          <w:color w:val="000000"/>
          <w:sz w:val="28"/>
          <w:szCs w:val="28"/>
          <w:lang w:eastAsia="en-PH"/>
        </w:rPr>
      </w:pPr>
    </w:p>
    <w:p w14:paraId="168B94BD" w14:textId="77777777" w:rsidR="00A02433" w:rsidRPr="009D420B" w:rsidRDefault="00A02433" w:rsidP="00A02433">
      <w:pPr>
        <w:jc w:val="center"/>
        <w:rPr>
          <w:rFonts w:cstheme="minorHAnsi"/>
          <w:b/>
          <w:bCs/>
          <w:color w:val="000000"/>
          <w:sz w:val="28"/>
          <w:szCs w:val="28"/>
          <w:lang w:eastAsia="en-PH"/>
        </w:rPr>
      </w:pPr>
    </w:p>
    <w:p w14:paraId="03D5C798" w14:textId="77777777" w:rsidR="00A02433" w:rsidRPr="009D420B" w:rsidRDefault="00A02433" w:rsidP="00A02433">
      <w:pPr>
        <w:jc w:val="center"/>
        <w:rPr>
          <w:rFonts w:cstheme="minorHAnsi"/>
          <w:b/>
          <w:bCs/>
          <w:color w:val="000000"/>
          <w:sz w:val="28"/>
          <w:szCs w:val="28"/>
          <w:lang w:eastAsia="en-PH"/>
        </w:rPr>
      </w:pPr>
    </w:p>
    <w:p w14:paraId="3B56B6C9" w14:textId="77777777" w:rsidR="00A02433" w:rsidRPr="009D420B" w:rsidRDefault="00A02433" w:rsidP="00A02433">
      <w:pPr>
        <w:jc w:val="center"/>
        <w:rPr>
          <w:rFonts w:cstheme="minorHAnsi"/>
          <w:b/>
          <w:bCs/>
          <w:color w:val="000000"/>
          <w:sz w:val="28"/>
          <w:szCs w:val="28"/>
          <w:lang w:eastAsia="en-PH"/>
        </w:rPr>
      </w:pPr>
    </w:p>
    <w:bookmarkEnd w:id="0"/>
    <w:p w14:paraId="694B91D6" w14:textId="5E2E8A5A" w:rsidR="00A02433" w:rsidRPr="009D420B" w:rsidRDefault="00A02433" w:rsidP="009D420B">
      <w:pPr>
        <w:jc w:val="center"/>
        <w:rPr>
          <w:rFonts w:cstheme="minorHAnsi"/>
        </w:rPr>
      </w:pPr>
    </w:p>
    <w:sectPr w:rsidR="00A02433" w:rsidRPr="009D420B" w:rsidSect="00B40FB2">
      <w:footerReference w:type="default" r:id="rId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1C9F" w14:textId="77777777" w:rsidR="005C63E5" w:rsidRDefault="005C63E5" w:rsidP="00BF0763">
      <w:pPr>
        <w:spacing w:after="0" w:line="240" w:lineRule="auto"/>
      </w:pPr>
      <w:r>
        <w:separator/>
      </w:r>
    </w:p>
  </w:endnote>
  <w:endnote w:type="continuationSeparator" w:id="0">
    <w:p w14:paraId="5D1C6CF7" w14:textId="77777777" w:rsidR="005C63E5" w:rsidRDefault="005C63E5" w:rsidP="00BF0763">
      <w:pPr>
        <w:spacing w:after="0" w:line="240" w:lineRule="auto"/>
      </w:pPr>
      <w:r>
        <w:continuationSeparator/>
      </w:r>
    </w:p>
  </w:endnote>
  <w:endnote w:type="continuationNotice" w:id="1">
    <w:p w14:paraId="42AD007B" w14:textId="77777777" w:rsidR="00422346" w:rsidRDefault="00422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242EC909" w14:textId="77777777" w:rsidR="00866B2D" w:rsidRDefault="00866B2D" w:rsidP="00222982">
        <w:pPr>
          <w:pStyle w:val="Footer"/>
        </w:pPr>
      </w:p>
      <w:p w14:paraId="31E31664" w14:textId="77777777" w:rsidR="00866B2D" w:rsidRDefault="00866B2D" w:rsidP="00222982">
        <w:pPr>
          <w:pStyle w:val="Footer"/>
        </w:pPr>
      </w:p>
      <w:p w14:paraId="6FDED60A" w14:textId="401C7560" w:rsidR="00866B2D" w:rsidRPr="001F635D" w:rsidRDefault="00866B2D" w:rsidP="00222982">
        <w:pPr>
          <w:pStyle w:val="Footer"/>
        </w:pP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2601E">
          <w:rPr>
            <w:rFonts w:ascii="Garamond" w:hAnsi="Garamond"/>
            <w:noProof/>
          </w:rPr>
          <w:t>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A18D" w14:textId="77777777" w:rsidR="005C63E5" w:rsidRDefault="005C63E5" w:rsidP="00BF0763">
      <w:pPr>
        <w:spacing w:after="0" w:line="240" w:lineRule="auto"/>
      </w:pPr>
      <w:r>
        <w:separator/>
      </w:r>
    </w:p>
  </w:footnote>
  <w:footnote w:type="continuationSeparator" w:id="0">
    <w:p w14:paraId="511CBBE7" w14:textId="77777777" w:rsidR="005C63E5" w:rsidRDefault="005C63E5" w:rsidP="00BF0763">
      <w:pPr>
        <w:spacing w:after="0" w:line="240" w:lineRule="auto"/>
      </w:pPr>
      <w:r>
        <w:continuationSeparator/>
      </w:r>
    </w:p>
  </w:footnote>
  <w:footnote w:type="continuationNotice" w:id="1">
    <w:p w14:paraId="581092CD" w14:textId="77777777" w:rsidR="00422346" w:rsidRDefault="004223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6" type="#_x0000_t75" style="width:3in;height:3in" o:bullet="t"/>
    </w:pict>
  </w:numPicBullet>
  <w:numPicBullet w:numPicBulletId="1">
    <w:pict>
      <v:shape id="_x0000_i1717" type="#_x0000_t75" style="width:3in;height:3in" o:bullet="t"/>
    </w:pict>
  </w:numPicBullet>
  <w:numPicBullet w:numPicBulletId="2">
    <w:pict>
      <v:shape id="_x0000_i1718" type="#_x0000_t75" style="width:3in;height:3in" o:bullet="t"/>
    </w:pict>
  </w:numPicBullet>
  <w:numPicBullet w:numPicBulletId="3">
    <w:pict>
      <v:shape id="_x0000_i1719" type="#_x0000_t75" style="width:3in;height:3in" o:bullet="t"/>
    </w:pict>
  </w:numPicBullet>
  <w:numPicBullet w:numPicBulletId="4">
    <w:pict>
      <v:shape id="_x0000_i1720" type="#_x0000_t75" style="width:3in;height:3in" o:bullet="t"/>
    </w:pict>
  </w:numPicBullet>
  <w:numPicBullet w:numPicBulletId="5">
    <w:pict>
      <v:shape id="_x0000_i1721" type="#_x0000_t75" style="width:3in;height:3in" o:bullet="t"/>
    </w:pict>
  </w:numPicBullet>
  <w:numPicBullet w:numPicBulletId="6">
    <w:pict>
      <v:shape id="_x0000_i1722" type="#_x0000_t75" style="width:3in;height:3in" o:bullet="t"/>
    </w:pict>
  </w:numPicBullet>
  <w:numPicBullet w:numPicBulletId="7">
    <w:pict>
      <v:shape id="_x0000_i1723" type="#_x0000_t75" style="width:3in;height:3in" o:bullet="t"/>
    </w:pict>
  </w:numPicBullet>
  <w:numPicBullet w:numPicBulletId="8">
    <w:pict>
      <v:shape id="_x0000_i1724" type="#_x0000_t75" style="width:3in;height:3in" o:bullet="t"/>
    </w:pict>
  </w:numPicBullet>
  <w:numPicBullet w:numPicBulletId="9">
    <w:pict>
      <v:shape id="_x0000_i1725" type="#_x0000_t75" style="width:3in;height:3in" o:bullet="t"/>
    </w:pict>
  </w:numPicBullet>
  <w:abstractNum w:abstractNumId="0" w15:restartNumberingAfterBreak="0">
    <w:nsid w:val="071E320F"/>
    <w:multiLevelType w:val="multilevel"/>
    <w:tmpl w:val="5F40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D72"/>
    <w:multiLevelType w:val="hybridMultilevel"/>
    <w:tmpl w:val="7764A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56EA3"/>
    <w:multiLevelType w:val="multilevel"/>
    <w:tmpl w:val="7B0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773C1"/>
    <w:multiLevelType w:val="hybridMultilevel"/>
    <w:tmpl w:val="26BA0AAE"/>
    <w:lvl w:ilvl="0" w:tplc="C93210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252"/>
    <w:multiLevelType w:val="multilevel"/>
    <w:tmpl w:val="CD42F2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5169AF"/>
    <w:multiLevelType w:val="hybridMultilevel"/>
    <w:tmpl w:val="4B8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6DF5"/>
    <w:multiLevelType w:val="hybridMultilevel"/>
    <w:tmpl w:val="8FAC2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63AB1"/>
    <w:multiLevelType w:val="hybridMultilevel"/>
    <w:tmpl w:val="D20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0C2E"/>
    <w:multiLevelType w:val="multilevel"/>
    <w:tmpl w:val="CB8E8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009C5"/>
    <w:multiLevelType w:val="multilevel"/>
    <w:tmpl w:val="1AD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00141"/>
    <w:multiLevelType w:val="multilevel"/>
    <w:tmpl w:val="8A1C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B0307"/>
    <w:multiLevelType w:val="hybridMultilevel"/>
    <w:tmpl w:val="909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34C0A"/>
    <w:multiLevelType w:val="hybridMultilevel"/>
    <w:tmpl w:val="C5E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6F0738"/>
    <w:multiLevelType w:val="hybridMultilevel"/>
    <w:tmpl w:val="BABC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E3FD9"/>
    <w:multiLevelType w:val="hybridMultilevel"/>
    <w:tmpl w:val="A99AF232"/>
    <w:lvl w:ilvl="0" w:tplc="22BE5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0476"/>
    <w:multiLevelType w:val="multilevel"/>
    <w:tmpl w:val="B008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1484E"/>
    <w:multiLevelType w:val="hybridMultilevel"/>
    <w:tmpl w:val="4F58747A"/>
    <w:lvl w:ilvl="0" w:tplc="BC268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122D"/>
    <w:multiLevelType w:val="multilevel"/>
    <w:tmpl w:val="E10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0606FD"/>
    <w:multiLevelType w:val="multilevel"/>
    <w:tmpl w:val="B13E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82F95"/>
    <w:multiLevelType w:val="hybridMultilevel"/>
    <w:tmpl w:val="6BD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31FCF"/>
    <w:multiLevelType w:val="multilevel"/>
    <w:tmpl w:val="F75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0A47B4"/>
    <w:multiLevelType w:val="hybridMultilevel"/>
    <w:tmpl w:val="4906F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641074"/>
    <w:multiLevelType w:val="multilevel"/>
    <w:tmpl w:val="A8A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02D230C"/>
    <w:multiLevelType w:val="multilevel"/>
    <w:tmpl w:val="8934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E33B4"/>
    <w:multiLevelType w:val="hybridMultilevel"/>
    <w:tmpl w:val="50CE5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4B05"/>
    <w:multiLevelType w:val="multilevel"/>
    <w:tmpl w:val="62C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329E7"/>
    <w:multiLevelType w:val="hybridMultilevel"/>
    <w:tmpl w:val="998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E645EB0"/>
    <w:multiLevelType w:val="hybridMultilevel"/>
    <w:tmpl w:val="85B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35DD4"/>
    <w:multiLevelType w:val="hybridMultilevel"/>
    <w:tmpl w:val="AE46369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505D49"/>
    <w:multiLevelType w:val="hybridMultilevel"/>
    <w:tmpl w:val="6E620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695AD9"/>
    <w:multiLevelType w:val="hybridMultilevel"/>
    <w:tmpl w:val="E92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400AF"/>
    <w:multiLevelType w:val="multilevel"/>
    <w:tmpl w:val="EDAC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91FE6"/>
    <w:multiLevelType w:val="hybridMultilevel"/>
    <w:tmpl w:val="2A54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969C0"/>
    <w:multiLevelType w:val="hybridMultilevel"/>
    <w:tmpl w:val="562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97D69"/>
    <w:multiLevelType w:val="hybridMultilevel"/>
    <w:tmpl w:val="D15C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867AD"/>
    <w:multiLevelType w:val="hybridMultilevel"/>
    <w:tmpl w:val="0CC40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7D0B54C7"/>
    <w:multiLevelType w:val="hybridMultilevel"/>
    <w:tmpl w:val="5F3C1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466AA5"/>
    <w:multiLevelType w:val="hybridMultilevel"/>
    <w:tmpl w:val="C1044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5"/>
  </w:num>
  <w:num w:numId="5">
    <w:abstractNumId w:val="23"/>
  </w:num>
  <w:num w:numId="6">
    <w:abstractNumId w:val="18"/>
  </w:num>
  <w:num w:numId="7">
    <w:abstractNumId w:val="21"/>
  </w:num>
  <w:num w:numId="8">
    <w:abstractNumId w:val="28"/>
  </w:num>
  <w:num w:numId="9">
    <w:abstractNumId w:val="6"/>
  </w:num>
  <w:num w:numId="10">
    <w:abstractNumId w:val="10"/>
  </w:num>
  <w:num w:numId="11">
    <w:abstractNumId w:val="17"/>
  </w:num>
  <w:num w:numId="12">
    <w:abstractNumId w:val="12"/>
  </w:num>
  <w:num w:numId="13">
    <w:abstractNumId w:val="27"/>
  </w:num>
  <w:num w:numId="14">
    <w:abstractNumId w:val="34"/>
  </w:num>
  <w:num w:numId="15">
    <w:abstractNumId w:val="29"/>
  </w:num>
  <w:num w:numId="16">
    <w:abstractNumId w:val="39"/>
  </w:num>
  <w:num w:numId="17">
    <w:abstractNumId w:val="33"/>
  </w:num>
  <w:num w:numId="18">
    <w:abstractNumId w:val="1"/>
  </w:num>
  <w:num w:numId="19">
    <w:abstractNumId w:val="13"/>
  </w:num>
  <w:num w:numId="20">
    <w:abstractNumId w:val="41"/>
  </w:num>
  <w:num w:numId="21">
    <w:abstractNumId w:val="24"/>
  </w:num>
  <w:num w:numId="22">
    <w:abstractNumId w:val="43"/>
  </w:num>
  <w:num w:numId="23">
    <w:abstractNumId w:val="42"/>
  </w:num>
  <w:num w:numId="24">
    <w:abstractNumId w:val="30"/>
  </w:num>
  <w:num w:numId="25">
    <w:abstractNumId w:val="40"/>
  </w:num>
  <w:num w:numId="26">
    <w:abstractNumId w:val="25"/>
  </w:num>
  <w:num w:numId="27">
    <w:abstractNumId w:val="31"/>
  </w:num>
  <w:num w:numId="28">
    <w:abstractNumId w:val="22"/>
  </w:num>
  <w:num w:numId="29">
    <w:abstractNumId w:val="2"/>
  </w:num>
  <w:num w:numId="30">
    <w:abstractNumId w:val="20"/>
  </w:num>
  <w:num w:numId="31">
    <w:abstractNumId w:val="38"/>
  </w:num>
  <w:num w:numId="32">
    <w:abstractNumId w:val="8"/>
  </w:num>
  <w:num w:numId="33">
    <w:abstractNumId w:val="37"/>
  </w:num>
  <w:num w:numId="34">
    <w:abstractNumId w:val="5"/>
  </w:num>
  <w:num w:numId="35">
    <w:abstractNumId w:val="3"/>
  </w:num>
  <w:num w:numId="36">
    <w:abstractNumId w:val="7"/>
  </w:num>
  <w:num w:numId="37">
    <w:abstractNumId w:val="11"/>
  </w:num>
  <w:num w:numId="38">
    <w:abstractNumId w:val="15"/>
  </w:num>
  <w:num w:numId="39">
    <w:abstractNumId w:val="36"/>
  </w:num>
  <w:num w:numId="40">
    <w:abstractNumId w:val="32"/>
  </w:num>
  <w:num w:numId="41">
    <w:abstractNumId w:val="14"/>
  </w:num>
  <w:num w:numId="42">
    <w:abstractNumId w:val="19"/>
  </w:num>
  <w:num w:numId="43">
    <w:abstractNumId w:val="16"/>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IxsTQztDCyMDRT0lEKTi0uzszPAykwqQUAzXiCFCwAAAA="/>
  </w:docVars>
  <w:rsids>
    <w:rsidRoot w:val="00BF0763"/>
    <w:rsid w:val="000223CE"/>
    <w:rsid w:val="0002601E"/>
    <w:rsid w:val="0003619A"/>
    <w:rsid w:val="000363F0"/>
    <w:rsid w:val="0004098B"/>
    <w:rsid w:val="00042FDA"/>
    <w:rsid w:val="000458F5"/>
    <w:rsid w:val="000466FC"/>
    <w:rsid w:val="0005732A"/>
    <w:rsid w:val="00064AE1"/>
    <w:rsid w:val="00072E25"/>
    <w:rsid w:val="0007616A"/>
    <w:rsid w:val="000803B4"/>
    <w:rsid w:val="00085131"/>
    <w:rsid w:val="00086AAD"/>
    <w:rsid w:val="000A02A1"/>
    <w:rsid w:val="000A07C9"/>
    <w:rsid w:val="000A1446"/>
    <w:rsid w:val="000A198F"/>
    <w:rsid w:val="000A38C9"/>
    <w:rsid w:val="000A4BBB"/>
    <w:rsid w:val="000A6CF2"/>
    <w:rsid w:val="000B60E8"/>
    <w:rsid w:val="000C0C5C"/>
    <w:rsid w:val="000C4FBE"/>
    <w:rsid w:val="000C6BE6"/>
    <w:rsid w:val="000C79EE"/>
    <w:rsid w:val="000D0C3A"/>
    <w:rsid w:val="000E1742"/>
    <w:rsid w:val="000E1843"/>
    <w:rsid w:val="000E1D55"/>
    <w:rsid w:val="000E2FB2"/>
    <w:rsid w:val="000E372B"/>
    <w:rsid w:val="000E7466"/>
    <w:rsid w:val="000F506E"/>
    <w:rsid w:val="000F720E"/>
    <w:rsid w:val="00111F6C"/>
    <w:rsid w:val="0013163E"/>
    <w:rsid w:val="00133898"/>
    <w:rsid w:val="001412B6"/>
    <w:rsid w:val="00143185"/>
    <w:rsid w:val="00147549"/>
    <w:rsid w:val="0014768B"/>
    <w:rsid w:val="001507D2"/>
    <w:rsid w:val="00160B48"/>
    <w:rsid w:val="00165E19"/>
    <w:rsid w:val="00167A44"/>
    <w:rsid w:val="00170777"/>
    <w:rsid w:val="00172E44"/>
    <w:rsid w:val="0018631C"/>
    <w:rsid w:val="00190E61"/>
    <w:rsid w:val="0019281F"/>
    <w:rsid w:val="00192E47"/>
    <w:rsid w:val="00195F82"/>
    <w:rsid w:val="001A23AE"/>
    <w:rsid w:val="001A2DA2"/>
    <w:rsid w:val="001B2AB0"/>
    <w:rsid w:val="001B4B22"/>
    <w:rsid w:val="001C3925"/>
    <w:rsid w:val="001C58E8"/>
    <w:rsid w:val="001D0176"/>
    <w:rsid w:val="001D284A"/>
    <w:rsid w:val="001D5079"/>
    <w:rsid w:val="001E4DC3"/>
    <w:rsid w:val="0020295D"/>
    <w:rsid w:val="002121CD"/>
    <w:rsid w:val="00215E6D"/>
    <w:rsid w:val="00222982"/>
    <w:rsid w:val="00222B99"/>
    <w:rsid w:val="00227F8C"/>
    <w:rsid w:val="00233A81"/>
    <w:rsid w:val="00243A6C"/>
    <w:rsid w:val="00244A3D"/>
    <w:rsid w:val="00245F2E"/>
    <w:rsid w:val="0024786B"/>
    <w:rsid w:val="0025153E"/>
    <w:rsid w:val="002556D5"/>
    <w:rsid w:val="00257553"/>
    <w:rsid w:val="00260DB0"/>
    <w:rsid w:val="00273015"/>
    <w:rsid w:val="00286C6C"/>
    <w:rsid w:val="002A0D4A"/>
    <w:rsid w:val="002B1492"/>
    <w:rsid w:val="002B5B93"/>
    <w:rsid w:val="002B6E60"/>
    <w:rsid w:val="002C6673"/>
    <w:rsid w:val="002D504C"/>
    <w:rsid w:val="002E141D"/>
    <w:rsid w:val="002E4AC5"/>
    <w:rsid w:val="003008E1"/>
    <w:rsid w:val="0030146F"/>
    <w:rsid w:val="00311517"/>
    <w:rsid w:val="00331501"/>
    <w:rsid w:val="00341D6B"/>
    <w:rsid w:val="00353DF6"/>
    <w:rsid w:val="00357F77"/>
    <w:rsid w:val="00363713"/>
    <w:rsid w:val="00365BE1"/>
    <w:rsid w:val="0036634C"/>
    <w:rsid w:val="00370A32"/>
    <w:rsid w:val="003716CF"/>
    <w:rsid w:val="00382961"/>
    <w:rsid w:val="00384457"/>
    <w:rsid w:val="003A44FE"/>
    <w:rsid w:val="003A5B97"/>
    <w:rsid w:val="003A6C99"/>
    <w:rsid w:val="003B0AB5"/>
    <w:rsid w:val="003B4707"/>
    <w:rsid w:val="003B55AF"/>
    <w:rsid w:val="003B7ED8"/>
    <w:rsid w:val="003C0050"/>
    <w:rsid w:val="003D0E15"/>
    <w:rsid w:val="003D19CD"/>
    <w:rsid w:val="003D324E"/>
    <w:rsid w:val="003D592F"/>
    <w:rsid w:val="003E38C3"/>
    <w:rsid w:val="003E3DF1"/>
    <w:rsid w:val="003E592C"/>
    <w:rsid w:val="003E62A5"/>
    <w:rsid w:val="003F5A16"/>
    <w:rsid w:val="004000A9"/>
    <w:rsid w:val="0040177C"/>
    <w:rsid w:val="0040391E"/>
    <w:rsid w:val="004059CA"/>
    <w:rsid w:val="00406258"/>
    <w:rsid w:val="0041053D"/>
    <w:rsid w:val="00410F5C"/>
    <w:rsid w:val="00411BC3"/>
    <w:rsid w:val="00414998"/>
    <w:rsid w:val="00421EA8"/>
    <w:rsid w:val="00422346"/>
    <w:rsid w:val="004259B0"/>
    <w:rsid w:val="0043225E"/>
    <w:rsid w:val="0043506E"/>
    <w:rsid w:val="00441297"/>
    <w:rsid w:val="00445E71"/>
    <w:rsid w:val="00450D96"/>
    <w:rsid w:val="00450EE9"/>
    <w:rsid w:val="00451072"/>
    <w:rsid w:val="00474C5C"/>
    <w:rsid w:val="004762B6"/>
    <w:rsid w:val="00477C58"/>
    <w:rsid w:val="004935A0"/>
    <w:rsid w:val="0049542B"/>
    <w:rsid w:val="0049544D"/>
    <w:rsid w:val="00496274"/>
    <w:rsid w:val="004976B6"/>
    <w:rsid w:val="004A4E9F"/>
    <w:rsid w:val="004A5AD2"/>
    <w:rsid w:val="004B090D"/>
    <w:rsid w:val="004B57A8"/>
    <w:rsid w:val="004C02BC"/>
    <w:rsid w:val="004E15FD"/>
    <w:rsid w:val="004E1F93"/>
    <w:rsid w:val="004E243C"/>
    <w:rsid w:val="004E6628"/>
    <w:rsid w:val="004F2C5E"/>
    <w:rsid w:val="0050162F"/>
    <w:rsid w:val="005140C2"/>
    <w:rsid w:val="00533237"/>
    <w:rsid w:val="00533784"/>
    <w:rsid w:val="00534570"/>
    <w:rsid w:val="00537706"/>
    <w:rsid w:val="00545966"/>
    <w:rsid w:val="005506C6"/>
    <w:rsid w:val="005578B6"/>
    <w:rsid w:val="00563CE6"/>
    <w:rsid w:val="00566028"/>
    <w:rsid w:val="005672A2"/>
    <w:rsid w:val="005739C5"/>
    <w:rsid w:val="00575789"/>
    <w:rsid w:val="00595E8B"/>
    <w:rsid w:val="005975B3"/>
    <w:rsid w:val="005A0E07"/>
    <w:rsid w:val="005A37DA"/>
    <w:rsid w:val="005A5462"/>
    <w:rsid w:val="005B06A6"/>
    <w:rsid w:val="005B3E71"/>
    <w:rsid w:val="005B4C7E"/>
    <w:rsid w:val="005B5108"/>
    <w:rsid w:val="005C0DB1"/>
    <w:rsid w:val="005C1A6C"/>
    <w:rsid w:val="005C63E5"/>
    <w:rsid w:val="005C779C"/>
    <w:rsid w:val="005C7973"/>
    <w:rsid w:val="005D4B1F"/>
    <w:rsid w:val="005D4F43"/>
    <w:rsid w:val="005D628F"/>
    <w:rsid w:val="005D640B"/>
    <w:rsid w:val="005E0AF0"/>
    <w:rsid w:val="005E4570"/>
    <w:rsid w:val="005F5638"/>
    <w:rsid w:val="005F5D0F"/>
    <w:rsid w:val="005F756A"/>
    <w:rsid w:val="00603D5B"/>
    <w:rsid w:val="00604154"/>
    <w:rsid w:val="00610CA5"/>
    <w:rsid w:val="00613299"/>
    <w:rsid w:val="006146D4"/>
    <w:rsid w:val="006203C8"/>
    <w:rsid w:val="00625878"/>
    <w:rsid w:val="00625FCC"/>
    <w:rsid w:val="00630ECE"/>
    <w:rsid w:val="00640DC5"/>
    <w:rsid w:val="006421DD"/>
    <w:rsid w:val="00645973"/>
    <w:rsid w:val="0065101D"/>
    <w:rsid w:val="00657395"/>
    <w:rsid w:val="00666EA0"/>
    <w:rsid w:val="00684BB9"/>
    <w:rsid w:val="00690139"/>
    <w:rsid w:val="006931EC"/>
    <w:rsid w:val="00694398"/>
    <w:rsid w:val="00694E60"/>
    <w:rsid w:val="00696C4D"/>
    <w:rsid w:val="006A3030"/>
    <w:rsid w:val="006A767F"/>
    <w:rsid w:val="006B28C0"/>
    <w:rsid w:val="006B5705"/>
    <w:rsid w:val="006B5DAE"/>
    <w:rsid w:val="006C20C0"/>
    <w:rsid w:val="006C4B46"/>
    <w:rsid w:val="006D05A5"/>
    <w:rsid w:val="006D07E2"/>
    <w:rsid w:val="006D3621"/>
    <w:rsid w:val="006D3EFC"/>
    <w:rsid w:val="006D6B40"/>
    <w:rsid w:val="006E2BE7"/>
    <w:rsid w:val="006E330D"/>
    <w:rsid w:val="006E395C"/>
    <w:rsid w:val="006E4CD1"/>
    <w:rsid w:val="006E5F57"/>
    <w:rsid w:val="006F0E61"/>
    <w:rsid w:val="006F4171"/>
    <w:rsid w:val="0070092D"/>
    <w:rsid w:val="0070111A"/>
    <w:rsid w:val="00703582"/>
    <w:rsid w:val="00704092"/>
    <w:rsid w:val="007125D3"/>
    <w:rsid w:val="00713BA4"/>
    <w:rsid w:val="007149DA"/>
    <w:rsid w:val="00725564"/>
    <w:rsid w:val="007322CF"/>
    <w:rsid w:val="00733B23"/>
    <w:rsid w:val="00735A5C"/>
    <w:rsid w:val="00737534"/>
    <w:rsid w:val="0075110C"/>
    <w:rsid w:val="00760F5F"/>
    <w:rsid w:val="00761785"/>
    <w:rsid w:val="007639F5"/>
    <w:rsid w:val="00767545"/>
    <w:rsid w:val="00770563"/>
    <w:rsid w:val="00771AAF"/>
    <w:rsid w:val="00784F50"/>
    <w:rsid w:val="00786511"/>
    <w:rsid w:val="00791EE1"/>
    <w:rsid w:val="007A152B"/>
    <w:rsid w:val="007A7088"/>
    <w:rsid w:val="007A753F"/>
    <w:rsid w:val="007B3911"/>
    <w:rsid w:val="007B6B22"/>
    <w:rsid w:val="007C01DC"/>
    <w:rsid w:val="007C1FDD"/>
    <w:rsid w:val="007C25B0"/>
    <w:rsid w:val="007C30FB"/>
    <w:rsid w:val="007C7294"/>
    <w:rsid w:val="007D06EE"/>
    <w:rsid w:val="007E06E5"/>
    <w:rsid w:val="007E342C"/>
    <w:rsid w:val="007E4790"/>
    <w:rsid w:val="007F36EF"/>
    <w:rsid w:val="0080296B"/>
    <w:rsid w:val="00802F99"/>
    <w:rsid w:val="00810D5A"/>
    <w:rsid w:val="008116E4"/>
    <w:rsid w:val="0081326C"/>
    <w:rsid w:val="008133FA"/>
    <w:rsid w:val="008315CD"/>
    <w:rsid w:val="00833341"/>
    <w:rsid w:val="00834D1A"/>
    <w:rsid w:val="0085076A"/>
    <w:rsid w:val="0085566C"/>
    <w:rsid w:val="008560C1"/>
    <w:rsid w:val="00863F99"/>
    <w:rsid w:val="00864274"/>
    <w:rsid w:val="00866B2D"/>
    <w:rsid w:val="008711CE"/>
    <w:rsid w:val="008740A8"/>
    <w:rsid w:val="00875D6F"/>
    <w:rsid w:val="008843E2"/>
    <w:rsid w:val="008A5B86"/>
    <w:rsid w:val="008B286A"/>
    <w:rsid w:val="008B43F9"/>
    <w:rsid w:val="008B44F1"/>
    <w:rsid w:val="008B784B"/>
    <w:rsid w:val="008C0E9A"/>
    <w:rsid w:val="008D1A55"/>
    <w:rsid w:val="008D3435"/>
    <w:rsid w:val="008E130E"/>
    <w:rsid w:val="008E2F5F"/>
    <w:rsid w:val="008E5017"/>
    <w:rsid w:val="008E5984"/>
    <w:rsid w:val="008E5F14"/>
    <w:rsid w:val="008F05A2"/>
    <w:rsid w:val="008F0EB1"/>
    <w:rsid w:val="008F5832"/>
    <w:rsid w:val="008F6588"/>
    <w:rsid w:val="00910A36"/>
    <w:rsid w:val="00910FF4"/>
    <w:rsid w:val="00913893"/>
    <w:rsid w:val="0091798A"/>
    <w:rsid w:val="00921852"/>
    <w:rsid w:val="00922F38"/>
    <w:rsid w:val="0093691C"/>
    <w:rsid w:val="00944378"/>
    <w:rsid w:val="009475D2"/>
    <w:rsid w:val="00964B27"/>
    <w:rsid w:val="00967DA0"/>
    <w:rsid w:val="00971B62"/>
    <w:rsid w:val="00981D02"/>
    <w:rsid w:val="00983740"/>
    <w:rsid w:val="00984ECB"/>
    <w:rsid w:val="00986ADA"/>
    <w:rsid w:val="00992385"/>
    <w:rsid w:val="00992453"/>
    <w:rsid w:val="009963B4"/>
    <w:rsid w:val="009A3982"/>
    <w:rsid w:val="009B5217"/>
    <w:rsid w:val="009B5B88"/>
    <w:rsid w:val="009C4D39"/>
    <w:rsid w:val="009C57E3"/>
    <w:rsid w:val="009D420B"/>
    <w:rsid w:val="009D4E16"/>
    <w:rsid w:val="009E1802"/>
    <w:rsid w:val="009E23DE"/>
    <w:rsid w:val="009E3F73"/>
    <w:rsid w:val="009E6A51"/>
    <w:rsid w:val="009F033D"/>
    <w:rsid w:val="00A01628"/>
    <w:rsid w:val="00A01822"/>
    <w:rsid w:val="00A02433"/>
    <w:rsid w:val="00A10F33"/>
    <w:rsid w:val="00A130EE"/>
    <w:rsid w:val="00A25375"/>
    <w:rsid w:val="00A354AB"/>
    <w:rsid w:val="00A36B6A"/>
    <w:rsid w:val="00A41F0B"/>
    <w:rsid w:val="00A51C02"/>
    <w:rsid w:val="00A52A13"/>
    <w:rsid w:val="00A674F3"/>
    <w:rsid w:val="00A67DBA"/>
    <w:rsid w:val="00A75F33"/>
    <w:rsid w:val="00A81969"/>
    <w:rsid w:val="00A8319A"/>
    <w:rsid w:val="00A868B0"/>
    <w:rsid w:val="00A901A7"/>
    <w:rsid w:val="00A901B6"/>
    <w:rsid w:val="00AA08AF"/>
    <w:rsid w:val="00AB0E4C"/>
    <w:rsid w:val="00AB23B8"/>
    <w:rsid w:val="00AC5E3F"/>
    <w:rsid w:val="00AC7309"/>
    <w:rsid w:val="00AD4293"/>
    <w:rsid w:val="00AE271D"/>
    <w:rsid w:val="00AE5657"/>
    <w:rsid w:val="00AF3B24"/>
    <w:rsid w:val="00B05DEE"/>
    <w:rsid w:val="00B06AAF"/>
    <w:rsid w:val="00B23040"/>
    <w:rsid w:val="00B25F29"/>
    <w:rsid w:val="00B31E95"/>
    <w:rsid w:val="00B40FB2"/>
    <w:rsid w:val="00B4256B"/>
    <w:rsid w:val="00B53442"/>
    <w:rsid w:val="00B53559"/>
    <w:rsid w:val="00B549CE"/>
    <w:rsid w:val="00B64F2F"/>
    <w:rsid w:val="00B657E8"/>
    <w:rsid w:val="00B676FE"/>
    <w:rsid w:val="00B827F0"/>
    <w:rsid w:val="00B82E50"/>
    <w:rsid w:val="00B8347D"/>
    <w:rsid w:val="00B94873"/>
    <w:rsid w:val="00B95898"/>
    <w:rsid w:val="00BA62A2"/>
    <w:rsid w:val="00BB118A"/>
    <w:rsid w:val="00BB32B5"/>
    <w:rsid w:val="00BC2895"/>
    <w:rsid w:val="00BF0763"/>
    <w:rsid w:val="00C005F4"/>
    <w:rsid w:val="00C00D52"/>
    <w:rsid w:val="00C121F2"/>
    <w:rsid w:val="00C16CF4"/>
    <w:rsid w:val="00C25EA2"/>
    <w:rsid w:val="00C27FB9"/>
    <w:rsid w:val="00C31210"/>
    <w:rsid w:val="00C37DAE"/>
    <w:rsid w:val="00C42259"/>
    <w:rsid w:val="00C424EE"/>
    <w:rsid w:val="00C510F2"/>
    <w:rsid w:val="00C51C23"/>
    <w:rsid w:val="00C53926"/>
    <w:rsid w:val="00C54F36"/>
    <w:rsid w:val="00C73140"/>
    <w:rsid w:val="00C866BA"/>
    <w:rsid w:val="00C90B5A"/>
    <w:rsid w:val="00C973F8"/>
    <w:rsid w:val="00CA0EA8"/>
    <w:rsid w:val="00CA2AB8"/>
    <w:rsid w:val="00CB0749"/>
    <w:rsid w:val="00CB20F6"/>
    <w:rsid w:val="00CB59D4"/>
    <w:rsid w:val="00CB71FE"/>
    <w:rsid w:val="00CC2B5E"/>
    <w:rsid w:val="00CC3037"/>
    <w:rsid w:val="00CC4115"/>
    <w:rsid w:val="00CC7787"/>
    <w:rsid w:val="00CD0257"/>
    <w:rsid w:val="00CD5C29"/>
    <w:rsid w:val="00CD795F"/>
    <w:rsid w:val="00CE73BA"/>
    <w:rsid w:val="00CE7CD3"/>
    <w:rsid w:val="00CF2396"/>
    <w:rsid w:val="00CF34B7"/>
    <w:rsid w:val="00CF3E6E"/>
    <w:rsid w:val="00CF5144"/>
    <w:rsid w:val="00CF6621"/>
    <w:rsid w:val="00CF6D85"/>
    <w:rsid w:val="00CF7ED1"/>
    <w:rsid w:val="00D018FE"/>
    <w:rsid w:val="00D069C2"/>
    <w:rsid w:val="00D10F29"/>
    <w:rsid w:val="00D20E0D"/>
    <w:rsid w:val="00D234E9"/>
    <w:rsid w:val="00D2392C"/>
    <w:rsid w:val="00D24541"/>
    <w:rsid w:val="00D345EC"/>
    <w:rsid w:val="00D36222"/>
    <w:rsid w:val="00D42AF0"/>
    <w:rsid w:val="00D43B30"/>
    <w:rsid w:val="00D46CF4"/>
    <w:rsid w:val="00D515AC"/>
    <w:rsid w:val="00D643F0"/>
    <w:rsid w:val="00D645A8"/>
    <w:rsid w:val="00D72A5A"/>
    <w:rsid w:val="00D75EA2"/>
    <w:rsid w:val="00D852E6"/>
    <w:rsid w:val="00D86CD2"/>
    <w:rsid w:val="00D87B03"/>
    <w:rsid w:val="00D94490"/>
    <w:rsid w:val="00D9622A"/>
    <w:rsid w:val="00DA0C57"/>
    <w:rsid w:val="00DA188C"/>
    <w:rsid w:val="00DA68FF"/>
    <w:rsid w:val="00DB0811"/>
    <w:rsid w:val="00DB273F"/>
    <w:rsid w:val="00DB3B0E"/>
    <w:rsid w:val="00DB4F46"/>
    <w:rsid w:val="00DB4FF7"/>
    <w:rsid w:val="00DB5F38"/>
    <w:rsid w:val="00DB651D"/>
    <w:rsid w:val="00DC795F"/>
    <w:rsid w:val="00DD59CE"/>
    <w:rsid w:val="00DD5AC5"/>
    <w:rsid w:val="00DE6FC8"/>
    <w:rsid w:val="00DE7C31"/>
    <w:rsid w:val="00E06DCB"/>
    <w:rsid w:val="00E172D6"/>
    <w:rsid w:val="00E251B7"/>
    <w:rsid w:val="00E25489"/>
    <w:rsid w:val="00E348A9"/>
    <w:rsid w:val="00E41BC0"/>
    <w:rsid w:val="00E4326D"/>
    <w:rsid w:val="00E55E59"/>
    <w:rsid w:val="00E577EF"/>
    <w:rsid w:val="00E7763A"/>
    <w:rsid w:val="00E82D02"/>
    <w:rsid w:val="00E83607"/>
    <w:rsid w:val="00EA5C95"/>
    <w:rsid w:val="00EA68F9"/>
    <w:rsid w:val="00EB43AE"/>
    <w:rsid w:val="00EB67EB"/>
    <w:rsid w:val="00EC0A65"/>
    <w:rsid w:val="00EC4BB3"/>
    <w:rsid w:val="00EC5C6F"/>
    <w:rsid w:val="00ED53DE"/>
    <w:rsid w:val="00EE0A78"/>
    <w:rsid w:val="00EE1B91"/>
    <w:rsid w:val="00F00F32"/>
    <w:rsid w:val="00F0595D"/>
    <w:rsid w:val="00F077E4"/>
    <w:rsid w:val="00F07C6F"/>
    <w:rsid w:val="00F10CB7"/>
    <w:rsid w:val="00F113AC"/>
    <w:rsid w:val="00F13D9E"/>
    <w:rsid w:val="00F14089"/>
    <w:rsid w:val="00F20CEA"/>
    <w:rsid w:val="00F24CC9"/>
    <w:rsid w:val="00F27FFC"/>
    <w:rsid w:val="00F37103"/>
    <w:rsid w:val="00F53EAB"/>
    <w:rsid w:val="00F6798E"/>
    <w:rsid w:val="00F726DB"/>
    <w:rsid w:val="00F9628A"/>
    <w:rsid w:val="00FB1265"/>
    <w:rsid w:val="00FB13BD"/>
    <w:rsid w:val="00FB6142"/>
    <w:rsid w:val="00FB7C29"/>
    <w:rsid w:val="00FC36FE"/>
    <w:rsid w:val="00FC647A"/>
    <w:rsid w:val="00FC6BBA"/>
    <w:rsid w:val="00FC7890"/>
    <w:rsid w:val="00FD16CA"/>
    <w:rsid w:val="00FE0B26"/>
    <w:rsid w:val="00FE2D9E"/>
    <w:rsid w:val="00FF40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37844EB"/>
  <w15:docId w15:val="{A5635566-4BCB-4E20-9FBD-9700BF9B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243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Heading,Cuadrícula clara - Énfasis 31,AB List 1,Bullet Points,List Paragraph (numbered (a)),Lapis Bulleted List,Dot pt,F5 List Paragraph,No Spacing1,List Paragraph Char Char Char,Indicator Text,Numbered Para 1,L,3"/>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Heading Char,Cuadrícula clara - Énfasis 31 Char,AB List 1 Char,Bullet Points Char,List Paragraph (numbered (a)) Char,Lapis Bulleted List Char,Dot pt Char,F5 List Paragraph Char,No Spacing1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customStyle="1" w:styleId="UnresolvedMention1">
    <w:name w:val="Unresolved Mention1"/>
    <w:basedOn w:val="DefaultParagraphFont"/>
    <w:uiPriority w:val="99"/>
    <w:semiHidden/>
    <w:unhideWhenUsed/>
    <w:rsid w:val="00784F50"/>
    <w:rPr>
      <w:color w:val="808080"/>
      <w:shd w:val="clear" w:color="auto" w:fill="E6E6E6"/>
    </w:rPr>
  </w:style>
  <w:style w:type="paragraph" w:customStyle="1" w:styleId="Default">
    <w:name w:val="Default"/>
    <w:rsid w:val="00791EE1"/>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6Char">
    <w:name w:val="Heading 6 Char"/>
    <w:basedOn w:val="DefaultParagraphFont"/>
    <w:link w:val="Heading6"/>
    <w:uiPriority w:val="9"/>
    <w:semiHidden/>
    <w:rsid w:val="00A0243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2054">
      <w:bodyDiv w:val="1"/>
      <w:marLeft w:val="0"/>
      <w:marRight w:val="0"/>
      <w:marTop w:val="0"/>
      <w:marBottom w:val="0"/>
      <w:divBdr>
        <w:top w:val="none" w:sz="0" w:space="0" w:color="auto"/>
        <w:left w:val="none" w:sz="0" w:space="0" w:color="auto"/>
        <w:bottom w:val="none" w:sz="0" w:space="0" w:color="auto"/>
        <w:right w:val="none" w:sz="0" w:space="0" w:color="auto"/>
      </w:divBdr>
    </w:div>
    <w:div w:id="134418729">
      <w:bodyDiv w:val="1"/>
      <w:marLeft w:val="0"/>
      <w:marRight w:val="0"/>
      <w:marTop w:val="0"/>
      <w:marBottom w:val="0"/>
      <w:divBdr>
        <w:top w:val="none" w:sz="0" w:space="0" w:color="auto"/>
        <w:left w:val="none" w:sz="0" w:space="0" w:color="auto"/>
        <w:bottom w:val="none" w:sz="0" w:space="0" w:color="auto"/>
        <w:right w:val="none" w:sz="0" w:space="0" w:color="auto"/>
      </w:divBdr>
    </w:div>
    <w:div w:id="356583248">
      <w:bodyDiv w:val="1"/>
      <w:marLeft w:val="0"/>
      <w:marRight w:val="0"/>
      <w:marTop w:val="0"/>
      <w:marBottom w:val="0"/>
      <w:divBdr>
        <w:top w:val="none" w:sz="0" w:space="0" w:color="auto"/>
        <w:left w:val="none" w:sz="0" w:space="0" w:color="auto"/>
        <w:bottom w:val="none" w:sz="0" w:space="0" w:color="auto"/>
        <w:right w:val="none" w:sz="0" w:space="0" w:color="auto"/>
      </w:divBdr>
    </w:div>
    <w:div w:id="404642978">
      <w:bodyDiv w:val="1"/>
      <w:marLeft w:val="0"/>
      <w:marRight w:val="0"/>
      <w:marTop w:val="0"/>
      <w:marBottom w:val="0"/>
      <w:divBdr>
        <w:top w:val="none" w:sz="0" w:space="0" w:color="auto"/>
        <w:left w:val="none" w:sz="0" w:space="0" w:color="auto"/>
        <w:bottom w:val="none" w:sz="0" w:space="0" w:color="auto"/>
        <w:right w:val="none" w:sz="0" w:space="0" w:color="auto"/>
      </w:divBdr>
    </w:div>
    <w:div w:id="613483345">
      <w:bodyDiv w:val="1"/>
      <w:marLeft w:val="0"/>
      <w:marRight w:val="0"/>
      <w:marTop w:val="0"/>
      <w:marBottom w:val="0"/>
      <w:divBdr>
        <w:top w:val="none" w:sz="0" w:space="0" w:color="auto"/>
        <w:left w:val="none" w:sz="0" w:space="0" w:color="auto"/>
        <w:bottom w:val="none" w:sz="0" w:space="0" w:color="auto"/>
        <w:right w:val="none" w:sz="0" w:space="0" w:color="auto"/>
      </w:divBdr>
    </w:div>
    <w:div w:id="790593262">
      <w:bodyDiv w:val="1"/>
      <w:marLeft w:val="0"/>
      <w:marRight w:val="0"/>
      <w:marTop w:val="0"/>
      <w:marBottom w:val="0"/>
      <w:divBdr>
        <w:top w:val="none" w:sz="0" w:space="0" w:color="auto"/>
        <w:left w:val="none" w:sz="0" w:space="0" w:color="auto"/>
        <w:bottom w:val="none" w:sz="0" w:space="0" w:color="auto"/>
        <w:right w:val="none" w:sz="0" w:space="0" w:color="auto"/>
      </w:divBdr>
    </w:div>
    <w:div w:id="833372419">
      <w:bodyDiv w:val="1"/>
      <w:marLeft w:val="0"/>
      <w:marRight w:val="0"/>
      <w:marTop w:val="0"/>
      <w:marBottom w:val="0"/>
      <w:divBdr>
        <w:top w:val="none" w:sz="0" w:space="0" w:color="auto"/>
        <w:left w:val="none" w:sz="0" w:space="0" w:color="auto"/>
        <w:bottom w:val="none" w:sz="0" w:space="0" w:color="auto"/>
        <w:right w:val="none" w:sz="0" w:space="0" w:color="auto"/>
      </w:divBdr>
    </w:div>
    <w:div w:id="1296179569">
      <w:bodyDiv w:val="1"/>
      <w:marLeft w:val="0"/>
      <w:marRight w:val="0"/>
      <w:marTop w:val="0"/>
      <w:marBottom w:val="0"/>
      <w:divBdr>
        <w:top w:val="none" w:sz="0" w:space="0" w:color="auto"/>
        <w:left w:val="none" w:sz="0" w:space="0" w:color="auto"/>
        <w:bottom w:val="none" w:sz="0" w:space="0" w:color="auto"/>
        <w:right w:val="none" w:sz="0" w:space="0" w:color="auto"/>
      </w:divBdr>
    </w:div>
    <w:div w:id="1383019255">
      <w:bodyDiv w:val="1"/>
      <w:marLeft w:val="0"/>
      <w:marRight w:val="0"/>
      <w:marTop w:val="0"/>
      <w:marBottom w:val="0"/>
      <w:divBdr>
        <w:top w:val="none" w:sz="0" w:space="0" w:color="auto"/>
        <w:left w:val="none" w:sz="0" w:space="0" w:color="auto"/>
        <w:bottom w:val="none" w:sz="0" w:space="0" w:color="auto"/>
        <w:right w:val="none" w:sz="0" w:space="0" w:color="auto"/>
      </w:divBdr>
    </w:div>
    <w:div w:id="1442141431">
      <w:bodyDiv w:val="1"/>
      <w:marLeft w:val="0"/>
      <w:marRight w:val="0"/>
      <w:marTop w:val="0"/>
      <w:marBottom w:val="0"/>
      <w:divBdr>
        <w:top w:val="none" w:sz="0" w:space="0" w:color="auto"/>
        <w:left w:val="none" w:sz="0" w:space="0" w:color="auto"/>
        <w:bottom w:val="none" w:sz="0" w:space="0" w:color="auto"/>
        <w:right w:val="none" w:sz="0" w:space="0" w:color="auto"/>
      </w:divBdr>
    </w:div>
    <w:div w:id="1750537184">
      <w:bodyDiv w:val="1"/>
      <w:marLeft w:val="0"/>
      <w:marRight w:val="0"/>
      <w:marTop w:val="0"/>
      <w:marBottom w:val="0"/>
      <w:divBdr>
        <w:top w:val="none" w:sz="0" w:space="0" w:color="auto"/>
        <w:left w:val="none" w:sz="0" w:space="0" w:color="auto"/>
        <w:bottom w:val="none" w:sz="0" w:space="0" w:color="auto"/>
        <w:right w:val="none" w:sz="0" w:space="0" w:color="auto"/>
      </w:divBdr>
    </w:div>
    <w:div w:id="1812820139">
      <w:bodyDiv w:val="1"/>
      <w:marLeft w:val="0"/>
      <w:marRight w:val="0"/>
      <w:marTop w:val="0"/>
      <w:marBottom w:val="0"/>
      <w:divBdr>
        <w:top w:val="none" w:sz="0" w:space="0" w:color="auto"/>
        <w:left w:val="none" w:sz="0" w:space="0" w:color="auto"/>
        <w:bottom w:val="none" w:sz="0" w:space="0" w:color="auto"/>
        <w:right w:val="none" w:sz="0" w:space="0" w:color="auto"/>
      </w:divBdr>
    </w:div>
    <w:div w:id="1838037719">
      <w:bodyDiv w:val="1"/>
      <w:marLeft w:val="0"/>
      <w:marRight w:val="0"/>
      <w:marTop w:val="0"/>
      <w:marBottom w:val="0"/>
      <w:divBdr>
        <w:top w:val="none" w:sz="0" w:space="0" w:color="auto"/>
        <w:left w:val="none" w:sz="0" w:space="0" w:color="auto"/>
        <w:bottom w:val="none" w:sz="0" w:space="0" w:color="auto"/>
        <w:right w:val="none" w:sz="0" w:space="0" w:color="auto"/>
      </w:divBdr>
    </w:div>
    <w:div w:id="1853832562">
      <w:bodyDiv w:val="1"/>
      <w:marLeft w:val="0"/>
      <w:marRight w:val="0"/>
      <w:marTop w:val="0"/>
      <w:marBottom w:val="0"/>
      <w:divBdr>
        <w:top w:val="none" w:sz="0" w:space="0" w:color="auto"/>
        <w:left w:val="none" w:sz="0" w:space="0" w:color="auto"/>
        <w:bottom w:val="none" w:sz="0" w:space="0" w:color="auto"/>
        <w:right w:val="none" w:sz="0" w:space="0" w:color="auto"/>
      </w:divBdr>
    </w:div>
    <w:div w:id="1959794556">
      <w:bodyDiv w:val="1"/>
      <w:marLeft w:val="0"/>
      <w:marRight w:val="0"/>
      <w:marTop w:val="0"/>
      <w:marBottom w:val="0"/>
      <w:divBdr>
        <w:top w:val="none" w:sz="0" w:space="0" w:color="auto"/>
        <w:left w:val="none" w:sz="0" w:space="0" w:color="auto"/>
        <w:bottom w:val="none" w:sz="0" w:space="0" w:color="auto"/>
        <w:right w:val="none" w:sz="0" w:space="0" w:color="auto"/>
      </w:divBdr>
    </w:div>
    <w:div w:id="20097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undp.org/,DanaInfo=iseek-newyork.un.org,SSL+webpgdept124_4?dept=12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dss.un.org/courses/v21/pages/dss_login_register.php" TargetMode="External"/><Relationship Id="rId17" Type="http://schemas.openxmlformats.org/officeDocument/2006/relationships/hyperlink" Target="http://procurement-notices.undp.org/view_notice.cfm"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g.cf%2Fprogmanual&amp;data=02%7C01%7Cnataly.olofinskaya%40undp.org%7Cbb3b16ffdf1b43cf60fd08d8614a8072%7Cb3e5db5e2944483799f57488ace54319%7C0%7C0%7C637366319898301221&amp;sdata=ICo1XcdniFzlM1pZT1Qx%2FfDkfc%2FEHJ3zipQiaNLaOD8%3D&amp;reserved=0" TargetMode="External"/><Relationship Id="rId5" Type="http://schemas.openxmlformats.org/officeDocument/2006/relationships/numbering" Target="numbering.xml"/><Relationship Id="rId15" Type="http://schemas.openxmlformats.org/officeDocument/2006/relationships/hyperlink" Target="https://intranet.undp.org/global/popp/hrm/Pages/duty.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s.un.org/dss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984523307F8841949BF7F6FD8BE454" ma:contentTypeVersion="12" ma:contentTypeDescription="Create a new document." ma:contentTypeScope="" ma:versionID="f032937d094a94425c80bb43ff60a8f8">
  <xsd:schema xmlns:xsd="http://www.w3.org/2001/XMLSchema" xmlns:xs="http://www.w3.org/2001/XMLSchema" xmlns:p="http://schemas.microsoft.com/office/2006/metadata/properties" xmlns:ns2="30226c64-304b-4ec5-905e-77a008dacb91" xmlns:ns3="5226b704-a383-425e-8e8b-1c2ed64982bc" targetNamespace="http://schemas.microsoft.com/office/2006/metadata/properties" ma:root="true" ma:fieldsID="016bcd5a4cf9e82d936c24926ec108e4" ns2:_="" ns3:_="">
    <xsd:import namespace="30226c64-304b-4ec5-905e-77a008dacb91"/>
    <xsd:import namespace="5226b704-a383-425e-8e8b-1c2ed64982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26c64-304b-4ec5-905e-77a008dac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6b704-a383-425e-8e8b-1c2ed64982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75DD9-1A8B-4AF9-B621-50352B7C5ACB}">
  <ds:schemaRefs>
    <ds:schemaRef ds:uri="http://schemas.microsoft.com/sharepoint/v3/contenttype/forms"/>
  </ds:schemaRefs>
</ds:datastoreItem>
</file>

<file path=customXml/itemProps2.xml><?xml version="1.0" encoding="utf-8"?>
<ds:datastoreItem xmlns:ds="http://schemas.openxmlformats.org/officeDocument/2006/customXml" ds:itemID="{30F5DE11-1E61-41C7-BB6C-C243FA23A61A}">
  <ds:schemaRefs>
    <ds:schemaRef ds:uri="http://schemas.openxmlformats.org/officeDocument/2006/bibliography"/>
  </ds:schemaRefs>
</ds:datastoreItem>
</file>

<file path=customXml/itemProps3.xml><?xml version="1.0" encoding="utf-8"?>
<ds:datastoreItem xmlns:ds="http://schemas.openxmlformats.org/officeDocument/2006/customXml" ds:itemID="{F5D6C55A-E5ED-4B8D-84A1-6F62AD066A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06001-8FED-442D-BFC7-67FE5029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26c64-304b-4ec5-905e-77a008dacb91"/>
    <ds:schemaRef ds:uri="5226b704-a383-425e-8e8b-1c2ed6498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2713</Words>
  <Characters>15470</Characters>
  <Application>Microsoft Office Word</Application>
  <DocSecurity>0</DocSecurity>
  <Lines>128</Lines>
  <Paragraphs>36</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Addressing climate change in an integrated manner is one the key global challeng</vt:lpstr>
      <vt:lpstr/>
    </vt:vector>
  </TitlesOfParts>
  <Manager/>
  <Company/>
  <LinksUpToDate>false</LinksUpToDate>
  <CharactersWithSpaces>18147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Kurukulasuriya</dc:creator>
  <cp:keywords/>
  <dc:description/>
  <cp:lastModifiedBy>Serif Korkmaz</cp:lastModifiedBy>
  <cp:revision>11</cp:revision>
  <cp:lastPrinted>2018-07-18T22:02:00Z</cp:lastPrinted>
  <dcterms:created xsi:type="dcterms:W3CDTF">2021-04-15T05:27:00Z</dcterms:created>
  <dcterms:modified xsi:type="dcterms:W3CDTF">2021-04-15T13:17:00Z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0x010100E6984523307F8841949BF7F6FD8BE454</vt:lpwstr>
  </property>
</Properties>
</file>