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222EC" w14:textId="419A1AC5" w:rsidR="00735836" w:rsidRDefault="003121CA">
      <w:pPr>
        <w:rPr>
          <w:b/>
          <w:sz w:val="24"/>
          <w:szCs w:val="24"/>
        </w:rPr>
      </w:pPr>
      <w:r>
        <w:rPr>
          <w:bCs/>
          <w:noProof/>
          <w:lang w:eastAsia="fr-FR"/>
        </w:rPr>
        <w:drawing>
          <wp:anchor distT="0" distB="0" distL="114300" distR="114300" simplePos="0" relativeHeight="251665408" behindDoc="1" locked="0" layoutInCell="1" allowOverlap="1" wp14:anchorId="2541A59F" wp14:editId="58699729">
            <wp:simplePos x="0" y="0"/>
            <wp:positionH relativeFrom="margin">
              <wp:align>left</wp:align>
            </wp:positionH>
            <wp:positionV relativeFrom="paragraph">
              <wp:posOffset>303530</wp:posOffset>
            </wp:positionV>
            <wp:extent cx="939165" cy="955675"/>
            <wp:effectExtent l="0" t="0" r="0" b="0"/>
            <wp:wrapTight wrapText="bothSides">
              <wp:wrapPolygon edited="0">
                <wp:start x="0" y="0"/>
                <wp:lineTo x="0" y="21098"/>
                <wp:lineTo x="21030" y="21098"/>
                <wp:lineTo x="21030" y="0"/>
                <wp:lineTo x="0"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9BBA4" w14:textId="535AC34E" w:rsidR="00735836" w:rsidRDefault="00806DA0" w:rsidP="00735836">
      <w:pPr>
        <w:rPr>
          <w:rFonts w:ascii="Myriad Pro" w:hAnsi="Myriad Pro"/>
          <w:i/>
        </w:rPr>
      </w:pPr>
      <w:r>
        <w:rPr>
          <w:noProof/>
          <w:lang w:eastAsia="fr-FR"/>
        </w:rPr>
        <w:drawing>
          <wp:anchor distT="0" distB="0" distL="114300" distR="114300" simplePos="0" relativeHeight="251667456" behindDoc="0" locked="0" layoutInCell="1" allowOverlap="1" wp14:anchorId="4A4F6D62" wp14:editId="49F03326">
            <wp:simplePos x="0" y="0"/>
            <wp:positionH relativeFrom="margin">
              <wp:posOffset>5320030</wp:posOffset>
            </wp:positionH>
            <wp:positionV relativeFrom="margin">
              <wp:posOffset>309880</wp:posOffset>
            </wp:positionV>
            <wp:extent cx="708025" cy="1211580"/>
            <wp:effectExtent l="0" t="0" r="0" b="0"/>
            <wp:wrapSquare wrapText="bothSides"/>
            <wp:docPr id="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r="8243" b="26403"/>
                    <a:stretch/>
                  </pic:blipFill>
                  <pic:spPr bwMode="auto">
                    <a:xfrm>
                      <a:off x="0" y="0"/>
                      <a:ext cx="708025"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836">
        <w:rPr>
          <w:rFonts w:ascii="Myriad Pro" w:hAnsi="Myriad Pro"/>
          <w:bCs/>
          <w:i/>
          <w:spacing w:val="-4"/>
        </w:rPr>
        <w:t xml:space="preserve">                                                </w:t>
      </w:r>
    </w:p>
    <w:p w14:paraId="05204891" w14:textId="5E79B09A" w:rsidR="00735836" w:rsidRDefault="00735836" w:rsidP="00735836">
      <w:pPr>
        <w:tabs>
          <w:tab w:val="left" w:pos="4571"/>
        </w:tabs>
        <w:rPr>
          <w:rFonts w:asciiTheme="majorHAnsi" w:hAnsiTheme="majorHAnsi"/>
        </w:rPr>
      </w:pPr>
      <w:r>
        <w:rPr>
          <w:rFonts w:asciiTheme="majorHAnsi" w:hAnsiTheme="majorHAnsi"/>
        </w:rPr>
        <w:tab/>
      </w:r>
    </w:p>
    <w:p w14:paraId="428C88D1" w14:textId="77777777" w:rsidR="00735836" w:rsidRDefault="00735836" w:rsidP="00735836">
      <w:pPr>
        <w:rPr>
          <w:rFonts w:asciiTheme="majorHAnsi" w:hAnsiTheme="majorHAnsi"/>
        </w:rPr>
      </w:pPr>
    </w:p>
    <w:p w14:paraId="24697EDD" w14:textId="77777777" w:rsidR="00735836" w:rsidRDefault="00735836" w:rsidP="00735836">
      <w:pPr>
        <w:rPr>
          <w:rFonts w:asciiTheme="majorHAnsi" w:hAnsiTheme="majorHAnsi"/>
        </w:rPr>
      </w:pPr>
    </w:p>
    <w:p w14:paraId="7E349BF4" w14:textId="77777777" w:rsidR="00735836" w:rsidRDefault="00735836" w:rsidP="00735836">
      <w:pPr>
        <w:tabs>
          <w:tab w:val="left" w:pos="720"/>
          <w:tab w:val="right" w:leader="dot" w:pos="8640"/>
        </w:tabs>
        <w:jc w:val="center"/>
        <w:rPr>
          <w:rFonts w:asciiTheme="majorHAnsi" w:hAnsiTheme="majorHAnsi"/>
          <w:b/>
          <w:bCs/>
          <w:sz w:val="28"/>
          <w:szCs w:val="28"/>
        </w:rPr>
      </w:pPr>
    </w:p>
    <w:p w14:paraId="434FDE45" w14:textId="79588106" w:rsidR="00735836" w:rsidRDefault="00735836" w:rsidP="00735836">
      <w:pPr>
        <w:tabs>
          <w:tab w:val="left" w:pos="720"/>
          <w:tab w:val="right" w:leader="dot" w:pos="8640"/>
        </w:tabs>
        <w:jc w:val="center"/>
        <w:rPr>
          <w:rFonts w:asciiTheme="majorHAnsi" w:hAnsiTheme="majorHAnsi"/>
          <w:b/>
          <w:bCs/>
          <w:sz w:val="28"/>
          <w:szCs w:val="28"/>
        </w:rPr>
      </w:pPr>
    </w:p>
    <w:p w14:paraId="6A0ED601" w14:textId="1E2EB854" w:rsidR="00735836" w:rsidRDefault="00735836" w:rsidP="00735836">
      <w:pPr>
        <w:tabs>
          <w:tab w:val="left" w:pos="720"/>
          <w:tab w:val="right" w:leader="dot" w:pos="8640"/>
        </w:tabs>
        <w:jc w:val="center"/>
        <w:rPr>
          <w:rFonts w:asciiTheme="majorHAnsi" w:hAnsiTheme="majorHAnsi"/>
          <w:b/>
          <w:bCs/>
          <w:sz w:val="28"/>
          <w:szCs w:val="28"/>
        </w:rPr>
      </w:pPr>
    </w:p>
    <w:p w14:paraId="5634D581" w14:textId="64BDC102" w:rsidR="00735836" w:rsidRPr="005F4500" w:rsidRDefault="004D0E89" w:rsidP="00735836">
      <w:pPr>
        <w:tabs>
          <w:tab w:val="left" w:pos="720"/>
          <w:tab w:val="right" w:leader="dot" w:pos="8640"/>
        </w:tabs>
        <w:jc w:val="center"/>
        <w:rPr>
          <w:b/>
          <w:bCs/>
          <w:smallCaps/>
          <w:sz w:val="32"/>
          <w:szCs w:val="32"/>
        </w:rPr>
      </w:pPr>
      <w:r w:rsidRPr="005F4500">
        <w:rPr>
          <w:b/>
          <w:bCs/>
          <w:smallCaps/>
          <w:sz w:val="32"/>
          <w:szCs w:val="32"/>
        </w:rPr>
        <w:t xml:space="preserve">Initiative Climate Promise du Programme des Nations Unies pour le Développement pour l’appui </w:t>
      </w:r>
      <w:r w:rsidR="00EE12CE" w:rsidRPr="005F4500">
        <w:rPr>
          <w:b/>
          <w:bCs/>
          <w:smallCaps/>
          <w:sz w:val="32"/>
          <w:szCs w:val="32"/>
        </w:rPr>
        <w:t>à</w:t>
      </w:r>
      <w:r w:rsidRPr="005F4500">
        <w:rPr>
          <w:b/>
          <w:bCs/>
          <w:smallCaps/>
          <w:sz w:val="32"/>
          <w:szCs w:val="32"/>
        </w:rPr>
        <w:t xml:space="preserve"> la mise à jour des </w:t>
      </w:r>
      <w:proofErr w:type="spellStart"/>
      <w:r w:rsidRPr="005F4500">
        <w:rPr>
          <w:b/>
          <w:bCs/>
          <w:smallCaps/>
          <w:sz w:val="32"/>
          <w:szCs w:val="32"/>
        </w:rPr>
        <w:t>CDNs</w:t>
      </w:r>
      <w:proofErr w:type="spellEnd"/>
    </w:p>
    <w:p w14:paraId="43EF9A58" w14:textId="77777777" w:rsidR="00735836" w:rsidRDefault="00735836" w:rsidP="00735836">
      <w:pPr>
        <w:tabs>
          <w:tab w:val="left" w:pos="720"/>
          <w:tab w:val="right" w:leader="dot" w:pos="8640"/>
        </w:tabs>
        <w:jc w:val="center"/>
        <w:rPr>
          <w:rFonts w:asciiTheme="majorHAnsi" w:hAnsiTheme="majorHAnsi"/>
          <w:b/>
          <w:bCs/>
          <w:sz w:val="28"/>
          <w:szCs w:val="28"/>
        </w:rPr>
      </w:pPr>
    </w:p>
    <w:p w14:paraId="5A00EBB2" w14:textId="6DCB46C5" w:rsidR="00735836" w:rsidRPr="005F4500" w:rsidRDefault="00735836" w:rsidP="00735836">
      <w:pPr>
        <w:tabs>
          <w:tab w:val="left" w:pos="720"/>
          <w:tab w:val="right" w:leader="dot" w:pos="8640"/>
        </w:tabs>
        <w:jc w:val="center"/>
        <w:rPr>
          <w:b/>
          <w:bCs/>
          <w:sz w:val="32"/>
          <w:szCs w:val="32"/>
        </w:rPr>
      </w:pPr>
      <w:r w:rsidRPr="005F4500">
        <w:rPr>
          <w:b/>
          <w:bCs/>
          <w:sz w:val="32"/>
          <w:szCs w:val="32"/>
        </w:rPr>
        <w:t>TERMES DE REFERENCE</w:t>
      </w:r>
    </w:p>
    <w:p w14:paraId="38A62CB3" w14:textId="77777777" w:rsidR="00735836" w:rsidRPr="00735836" w:rsidRDefault="00735836" w:rsidP="00735836">
      <w:pPr>
        <w:tabs>
          <w:tab w:val="left" w:pos="720"/>
          <w:tab w:val="right" w:leader="dot" w:pos="8640"/>
        </w:tabs>
        <w:jc w:val="center"/>
        <w:rPr>
          <w:rFonts w:asciiTheme="majorHAnsi" w:hAnsiTheme="majorHAnsi"/>
          <w:b/>
          <w:bCs/>
          <w:sz w:val="28"/>
          <w:szCs w:val="28"/>
        </w:rPr>
      </w:pPr>
    </w:p>
    <w:p w14:paraId="705F01AC" w14:textId="77777777" w:rsidR="00735836" w:rsidRDefault="00735836" w:rsidP="00735836">
      <w:pPr>
        <w:tabs>
          <w:tab w:val="left" w:pos="720"/>
          <w:tab w:val="right" w:leader="dot" w:pos="8640"/>
        </w:tabs>
        <w:jc w:val="center"/>
        <w:rPr>
          <w:rFonts w:asciiTheme="majorHAnsi" w:hAnsiTheme="majorHAnsi"/>
          <w:b/>
          <w:bCs/>
          <w:sz w:val="28"/>
          <w:szCs w:val="28"/>
        </w:rPr>
      </w:pPr>
    </w:p>
    <w:p w14:paraId="313A0EA9" w14:textId="15365F6A" w:rsidR="00735836" w:rsidRPr="005F4500" w:rsidRDefault="00735836" w:rsidP="00735836">
      <w:pPr>
        <w:tabs>
          <w:tab w:val="left" w:pos="1350"/>
          <w:tab w:val="left" w:pos="1530"/>
          <w:tab w:val="center" w:pos="5400"/>
        </w:tabs>
        <w:ind w:left="1170"/>
        <w:rPr>
          <w:rFonts w:ascii="Segoe UI" w:hAnsi="Segoe UI" w:cs="Segoe UI"/>
          <w:b/>
          <w:bCs/>
          <w:smallCaps/>
          <w:color w:val="2F5496" w:themeColor="accent1" w:themeShade="BF"/>
          <w:sz w:val="28"/>
          <w:szCs w:val="28"/>
        </w:rPr>
      </w:pPr>
      <w:r w:rsidRPr="005F4500">
        <w:rPr>
          <w:rFonts w:ascii="Segoe UI" w:hAnsi="Segoe UI" w:cs="Segoe UI"/>
          <w:b/>
          <w:bCs/>
          <w:smallCaps/>
          <w:color w:val="2F5496" w:themeColor="accent1" w:themeShade="BF"/>
          <w:sz w:val="28"/>
          <w:szCs w:val="28"/>
        </w:rPr>
        <w:t xml:space="preserve">Recrutement d’un bureau d’études ou </w:t>
      </w:r>
      <w:r w:rsidR="000B7377">
        <w:rPr>
          <w:rFonts w:ascii="Segoe UI" w:hAnsi="Segoe UI" w:cs="Segoe UI"/>
          <w:b/>
          <w:bCs/>
          <w:smallCaps/>
          <w:color w:val="2F5496" w:themeColor="accent1" w:themeShade="BF"/>
          <w:sz w:val="28"/>
          <w:szCs w:val="28"/>
        </w:rPr>
        <w:t xml:space="preserve">de </w:t>
      </w:r>
      <w:r w:rsidRPr="005F4500">
        <w:rPr>
          <w:rFonts w:ascii="Segoe UI" w:hAnsi="Segoe UI" w:cs="Segoe UI"/>
          <w:b/>
          <w:bCs/>
          <w:smallCaps/>
          <w:color w:val="2F5496" w:themeColor="accent1" w:themeShade="BF"/>
          <w:sz w:val="28"/>
          <w:szCs w:val="28"/>
        </w:rPr>
        <w:t xml:space="preserve">groupement de bureaux d’études </w:t>
      </w:r>
      <w:r w:rsidR="00903408">
        <w:rPr>
          <w:rFonts w:ascii="Segoe UI" w:hAnsi="Segoe UI" w:cs="Segoe UI"/>
          <w:b/>
          <w:bCs/>
          <w:smallCaps/>
          <w:color w:val="2F5496" w:themeColor="accent1" w:themeShade="BF"/>
          <w:sz w:val="28"/>
          <w:szCs w:val="28"/>
        </w:rPr>
        <w:t>international</w:t>
      </w:r>
      <w:r w:rsidR="009F5D15">
        <w:rPr>
          <w:rFonts w:ascii="Segoe UI" w:hAnsi="Segoe UI" w:cs="Segoe UI"/>
          <w:b/>
          <w:bCs/>
          <w:smallCaps/>
          <w:color w:val="2F5496" w:themeColor="accent1" w:themeShade="BF"/>
          <w:sz w:val="28"/>
          <w:szCs w:val="28"/>
        </w:rPr>
        <w:t xml:space="preserve">/internationaux </w:t>
      </w:r>
      <w:r w:rsidRPr="005F4500">
        <w:rPr>
          <w:rFonts w:ascii="Segoe UI" w:hAnsi="Segoe UI" w:cs="Segoe UI"/>
          <w:b/>
          <w:bCs/>
          <w:smallCaps/>
          <w:color w:val="2F5496" w:themeColor="accent1" w:themeShade="BF"/>
          <w:sz w:val="28"/>
          <w:szCs w:val="28"/>
        </w:rPr>
        <w:t xml:space="preserve">pour </w:t>
      </w:r>
      <w:r w:rsidR="00266729">
        <w:rPr>
          <w:rFonts w:ascii="Segoe UI" w:hAnsi="Segoe UI" w:cs="Segoe UI"/>
          <w:b/>
          <w:bCs/>
          <w:smallCaps/>
          <w:color w:val="2F5496" w:themeColor="accent1" w:themeShade="BF"/>
          <w:sz w:val="28"/>
          <w:szCs w:val="28"/>
        </w:rPr>
        <w:t>la</w:t>
      </w:r>
      <w:r w:rsidR="007137B4" w:rsidRPr="005F4500">
        <w:rPr>
          <w:rFonts w:ascii="Segoe UI" w:hAnsi="Segoe UI" w:cs="Segoe UI"/>
          <w:b/>
          <w:bCs/>
          <w:smallCaps/>
          <w:color w:val="2F5496" w:themeColor="accent1" w:themeShade="BF"/>
          <w:sz w:val="28"/>
          <w:szCs w:val="28"/>
        </w:rPr>
        <w:t xml:space="preserve"> </w:t>
      </w:r>
      <w:r w:rsidRPr="005F4500">
        <w:rPr>
          <w:rFonts w:ascii="Segoe UI" w:hAnsi="Segoe UI" w:cs="Segoe UI"/>
          <w:b/>
          <w:bCs/>
          <w:smallCaps/>
          <w:color w:val="2F5496" w:themeColor="accent1" w:themeShade="BF"/>
          <w:sz w:val="28"/>
          <w:szCs w:val="28"/>
        </w:rPr>
        <w:t xml:space="preserve">mise à jour de la Contribution Déterminée au niveau National (CDN) dans le domaine de l’atténuation en </w:t>
      </w:r>
      <w:r w:rsidR="00934841" w:rsidRPr="005F4500">
        <w:rPr>
          <w:rFonts w:ascii="Segoe UI" w:hAnsi="Segoe UI" w:cs="Segoe UI"/>
          <w:b/>
          <w:bCs/>
          <w:smallCaps/>
          <w:color w:val="2F5496" w:themeColor="accent1" w:themeShade="BF"/>
          <w:sz w:val="28"/>
          <w:szCs w:val="28"/>
        </w:rPr>
        <w:t>Guinée</w:t>
      </w:r>
      <w:r w:rsidR="00B305CC" w:rsidRPr="005F4500">
        <w:rPr>
          <w:rFonts w:ascii="Segoe UI" w:hAnsi="Segoe UI" w:cs="Segoe UI"/>
          <w:b/>
          <w:bCs/>
          <w:smallCaps/>
          <w:color w:val="2F5496" w:themeColor="accent1" w:themeShade="BF"/>
          <w:sz w:val="28"/>
          <w:szCs w:val="28"/>
        </w:rPr>
        <w:t xml:space="preserve"> Bissau</w:t>
      </w:r>
    </w:p>
    <w:p w14:paraId="1B512AA9" w14:textId="77777777" w:rsidR="00735836" w:rsidRPr="005F4500" w:rsidRDefault="00735836" w:rsidP="00735836">
      <w:pPr>
        <w:tabs>
          <w:tab w:val="left" w:pos="1350"/>
          <w:tab w:val="left" w:pos="1530"/>
          <w:tab w:val="center" w:pos="5400"/>
        </w:tabs>
        <w:ind w:left="1170"/>
        <w:rPr>
          <w:rFonts w:ascii="Segoe UI" w:hAnsi="Segoe UI" w:cs="Segoe UI"/>
          <w:b/>
          <w:bCs/>
          <w:smallCaps/>
          <w:color w:val="2F5496" w:themeColor="accent1" w:themeShade="BF"/>
          <w:sz w:val="28"/>
          <w:szCs w:val="28"/>
        </w:rPr>
      </w:pPr>
    </w:p>
    <w:p w14:paraId="13DE50E4" w14:textId="77777777" w:rsidR="00735836" w:rsidRDefault="00735836" w:rsidP="00735836">
      <w:pPr>
        <w:tabs>
          <w:tab w:val="left" w:pos="1350"/>
          <w:tab w:val="left" w:pos="1530"/>
          <w:tab w:val="center" w:pos="5400"/>
        </w:tabs>
        <w:ind w:left="1170"/>
        <w:rPr>
          <w:rFonts w:ascii="Segoe UI" w:hAnsi="Segoe UI" w:cs="Segoe UI"/>
          <w:b/>
          <w:bCs/>
          <w:sz w:val="24"/>
          <w:szCs w:val="28"/>
        </w:rPr>
      </w:pPr>
    </w:p>
    <w:p w14:paraId="52D1F6D8" w14:textId="5A0DAD23" w:rsidR="00735836" w:rsidRDefault="00735836" w:rsidP="00735836">
      <w:pPr>
        <w:tabs>
          <w:tab w:val="left" w:pos="1350"/>
          <w:tab w:val="left" w:pos="1530"/>
          <w:tab w:val="left" w:pos="1980"/>
          <w:tab w:val="center" w:pos="5400"/>
        </w:tabs>
        <w:ind w:left="1170"/>
        <w:rPr>
          <w:rFonts w:ascii="Segoe UI" w:hAnsi="Segoe UI" w:cs="Segoe UI"/>
          <w:b/>
          <w:bCs/>
          <w:szCs w:val="28"/>
        </w:rPr>
      </w:pPr>
    </w:p>
    <w:p w14:paraId="5BF7A943" w14:textId="53DB06D8" w:rsidR="00735836" w:rsidRDefault="00735836" w:rsidP="00735836">
      <w:pPr>
        <w:tabs>
          <w:tab w:val="left" w:pos="720"/>
          <w:tab w:val="left" w:pos="1350"/>
          <w:tab w:val="left" w:pos="1530"/>
          <w:tab w:val="left" w:pos="1980"/>
          <w:tab w:val="right" w:leader="dot" w:pos="8640"/>
        </w:tabs>
        <w:ind w:left="1170"/>
        <w:rPr>
          <w:rFonts w:ascii="Segoe UI" w:hAnsi="Segoe UI" w:cs="Segoe UI"/>
          <w:szCs w:val="24"/>
        </w:rPr>
      </w:pPr>
    </w:p>
    <w:p w14:paraId="14A26F27" w14:textId="368EE71D" w:rsidR="005F4500" w:rsidRDefault="005F4500" w:rsidP="00735836">
      <w:pPr>
        <w:tabs>
          <w:tab w:val="left" w:pos="720"/>
          <w:tab w:val="left" w:pos="1350"/>
          <w:tab w:val="left" w:pos="1530"/>
          <w:tab w:val="left" w:pos="1980"/>
          <w:tab w:val="right" w:leader="dot" w:pos="8640"/>
        </w:tabs>
        <w:ind w:left="1170"/>
        <w:rPr>
          <w:rFonts w:ascii="Segoe UI" w:hAnsi="Segoe UI" w:cs="Segoe UI"/>
          <w:szCs w:val="24"/>
        </w:rPr>
      </w:pPr>
    </w:p>
    <w:p w14:paraId="23450300" w14:textId="2396D82C" w:rsidR="005F4500" w:rsidRDefault="005F4500" w:rsidP="00735836">
      <w:pPr>
        <w:tabs>
          <w:tab w:val="left" w:pos="720"/>
          <w:tab w:val="left" w:pos="1350"/>
          <w:tab w:val="left" w:pos="1530"/>
          <w:tab w:val="left" w:pos="1980"/>
          <w:tab w:val="right" w:leader="dot" w:pos="8640"/>
        </w:tabs>
        <w:ind w:left="1170"/>
        <w:rPr>
          <w:rFonts w:ascii="Segoe UI" w:hAnsi="Segoe UI" w:cs="Segoe UI"/>
          <w:szCs w:val="24"/>
        </w:rPr>
      </w:pPr>
    </w:p>
    <w:p w14:paraId="6CEFC914" w14:textId="77777777" w:rsidR="00F95697" w:rsidRDefault="00F95697" w:rsidP="00735836">
      <w:pPr>
        <w:tabs>
          <w:tab w:val="left" w:pos="720"/>
          <w:tab w:val="left" w:pos="1350"/>
          <w:tab w:val="left" w:pos="1530"/>
          <w:tab w:val="left" w:pos="1980"/>
          <w:tab w:val="right" w:leader="dot" w:pos="8640"/>
        </w:tabs>
        <w:ind w:left="1170"/>
        <w:rPr>
          <w:rFonts w:ascii="Segoe UI" w:hAnsi="Segoe UI" w:cs="Segoe UI"/>
          <w:szCs w:val="24"/>
        </w:rPr>
      </w:pPr>
    </w:p>
    <w:p w14:paraId="68F92671" w14:textId="7AA6287A" w:rsidR="00735836" w:rsidRPr="00735836" w:rsidRDefault="00735836" w:rsidP="00735836">
      <w:pPr>
        <w:tabs>
          <w:tab w:val="left" w:pos="720"/>
          <w:tab w:val="left" w:pos="1350"/>
          <w:tab w:val="left" w:pos="1530"/>
          <w:tab w:val="left" w:pos="1980"/>
          <w:tab w:val="right" w:leader="dot" w:pos="8640"/>
        </w:tabs>
        <w:ind w:left="1170"/>
        <w:rPr>
          <w:rFonts w:ascii="Segoe UI" w:hAnsi="Segoe UI" w:cs="Segoe UI"/>
          <w:b/>
          <w:bCs/>
          <w:color w:val="000000" w:themeColor="text1"/>
          <w:szCs w:val="28"/>
        </w:rPr>
      </w:pPr>
    </w:p>
    <w:p w14:paraId="6671B5B6" w14:textId="2E994F17" w:rsidR="00735836" w:rsidRDefault="005F4500" w:rsidP="005F4500">
      <w:pPr>
        <w:tabs>
          <w:tab w:val="left" w:pos="8640"/>
        </w:tabs>
        <w:jc w:val="right"/>
        <w:rPr>
          <w:b/>
          <w:sz w:val="24"/>
          <w:szCs w:val="24"/>
        </w:rPr>
      </w:pPr>
      <w:r>
        <w:rPr>
          <w:b/>
          <w:sz w:val="24"/>
          <w:szCs w:val="24"/>
        </w:rPr>
        <w:t xml:space="preserve">Avril 2021 </w:t>
      </w:r>
    </w:p>
    <w:p w14:paraId="55DC1462" w14:textId="77777777" w:rsidR="00321103" w:rsidRDefault="00321103">
      <w:pPr>
        <w:rPr>
          <w:b/>
          <w:sz w:val="24"/>
          <w:szCs w:val="24"/>
        </w:rPr>
      </w:pPr>
    </w:p>
    <w:p w14:paraId="407795A5" w14:textId="21219894" w:rsidR="00735836" w:rsidRDefault="00735836">
      <w:pPr>
        <w:rPr>
          <w:b/>
          <w:sz w:val="24"/>
          <w:szCs w:val="24"/>
        </w:rPr>
      </w:pPr>
    </w:p>
    <w:p w14:paraId="70F21FC3" w14:textId="13B971DB" w:rsidR="00620AF0" w:rsidRDefault="00620AF0" w:rsidP="00620AF0">
      <w:pPr>
        <w:pStyle w:val="Paragraphedeliste"/>
        <w:jc w:val="both"/>
        <w:rPr>
          <w:b/>
          <w:sz w:val="24"/>
          <w:szCs w:val="24"/>
        </w:rPr>
      </w:pPr>
    </w:p>
    <w:tbl>
      <w:tblPr>
        <w:tblW w:w="10440" w:type="dxa"/>
        <w:tblInd w:w="-4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40"/>
      </w:tblGrid>
      <w:tr w:rsidR="00037C1A" w:rsidRPr="00167DB6" w14:paraId="29D650D6" w14:textId="77777777" w:rsidTr="00B35622">
        <w:trPr>
          <w:trHeight w:val="599"/>
        </w:trPr>
        <w:tc>
          <w:tcPr>
            <w:tcW w:w="10440" w:type="dxa"/>
            <w:shd w:val="clear" w:color="auto" w:fill="000099"/>
            <w:vAlign w:val="center"/>
          </w:tcPr>
          <w:p w14:paraId="61237F44" w14:textId="77777777" w:rsidR="00037C1A" w:rsidRPr="00167DB6" w:rsidRDefault="00037C1A" w:rsidP="00B35622">
            <w:pPr>
              <w:jc w:val="both"/>
              <w:rPr>
                <w:rFonts w:cs="Arial"/>
                <w:b/>
                <w:bCs/>
              </w:rPr>
            </w:pPr>
            <w:r w:rsidRPr="00167DB6">
              <w:rPr>
                <w:rFonts w:cs="Arial"/>
                <w:b/>
                <w:bCs/>
              </w:rPr>
              <w:t xml:space="preserve">Information </w:t>
            </w:r>
          </w:p>
        </w:tc>
      </w:tr>
      <w:tr w:rsidR="00037C1A" w:rsidRPr="00187A76" w14:paraId="59B7C2BE" w14:textId="77777777" w:rsidTr="00B35622">
        <w:tc>
          <w:tcPr>
            <w:tcW w:w="10440" w:type="dxa"/>
          </w:tcPr>
          <w:p w14:paraId="58A12D47" w14:textId="6DC5BDA7" w:rsidR="00CD6117" w:rsidRPr="00187A76" w:rsidRDefault="00037C1A" w:rsidP="00187A76">
            <w:pPr>
              <w:tabs>
                <w:tab w:val="left" w:pos="2160"/>
              </w:tabs>
              <w:ind w:left="2160" w:hanging="2160"/>
              <w:jc w:val="both"/>
              <w:rPr>
                <w:rFonts w:cs="Arial"/>
              </w:rPr>
            </w:pPr>
            <w:r w:rsidRPr="00187A76">
              <w:rPr>
                <w:rFonts w:cs="Arial"/>
              </w:rPr>
              <w:t xml:space="preserve">Position </w:t>
            </w:r>
            <w:proofErr w:type="spellStart"/>
            <w:r w:rsidRPr="00187A76">
              <w:rPr>
                <w:rFonts w:cs="Arial"/>
              </w:rPr>
              <w:t>Title</w:t>
            </w:r>
            <w:proofErr w:type="spellEnd"/>
            <w:r w:rsidRPr="00187A76">
              <w:rPr>
                <w:rFonts w:cs="Arial"/>
              </w:rPr>
              <w:t> :</w:t>
            </w:r>
            <w:r w:rsidRPr="00187A76">
              <w:rPr>
                <w:rFonts w:cs="Arial"/>
              </w:rPr>
              <w:tab/>
            </w:r>
            <w:r w:rsidR="00CD6117" w:rsidRPr="00187A76">
              <w:rPr>
                <w:rFonts w:cs="Arial"/>
              </w:rPr>
              <w:t>Recrutement d’un bureau d’études ou de groupement de bureaux d’études international/internationaux pour la mise à jour de la Contribution Déterminée au niveau National (CDN) dans le domaine de l’atténuation en Guinée Bissau</w:t>
            </w:r>
          </w:p>
          <w:p w14:paraId="63DFC083" w14:textId="0C9D0709" w:rsidR="00037C1A" w:rsidRPr="00187A76" w:rsidRDefault="001268D3" w:rsidP="00B35622">
            <w:pPr>
              <w:tabs>
                <w:tab w:val="left" w:pos="2160"/>
              </w:tabs>
              <w:ind w:left="2160" w:hanging="2160"/>
              <w:jc w:val="both"/>
              <w:rPr>
                <w:rFonts w:cs="Arial"/>
              </w:rPr>
            </w:pPr>
            <w:r w:rsidRPr="00187A76">
              <w:rPr>
                <w:rFonts w:cs="Arial"/>
              </w:rPr>
              <w:t>Location :</w:t>
            </w:r>
            <w:r w:rsidR="00037C1A" w:rsidRPr="00187A76">
              <w:rPr>
                <w:rFonts w:cs="Arial"/>
              </w:rPr>
              <w:t xml:space="preserve">                         </w:t>
            </w:r>
            <w:r w:rsidR="007440A3" w:rsidRPr="00187A76">
              <w:rPr>
                <w:rFonts w:cs="Arial"/>
              </w:rPr>
              <w:t xml:space="preserve"> </w:t>
            </w:r>
            <w:r w:rsidR="00037C1A" w:rsidRPr="00187A76">
              <w:rPr>
                <w:rFonts w:cs="Arial"/>
              </w:rPr>
              <w:t>Home-</w:t>
            </w:r>
            <w:proofErr w:type="spellStart"/>
            <w:r w:rsidR="00037C1A" w:rsidRPr="00187A76">
              <w:rPr>
                <w:rFonts w:cs="Arial"/>
              </w:rPr>
              <w:t>based</w:t>
            </w:r>
            <w:proofErr w:type="spellEnd"/>
            <w:r w:rsidR="00037C1A" w:rsidRPr="00187A76">
              <w:rPr>
                <w:rFonts w:cs="Arial"/>
              </w:rPr>
              <w:t xml:space="preserve"> </w:t>
            </w:r>
            <w:r w:rsidR="007440A3" w:rsidRPr="00187A76">
              <w:rPr>
                <w:rFonts w:cs="Arial"/>
              </w:rPr>
              <w:t xml:space="preserve">avec mission </w:t>
            </w:r>
            <w:r w:rsidRPr="00187A76">
              <w:rPr>
                <w:rFonts w:cs="Arial"/>
              </w:rPr>
              <w:t>à</w:t>
            </w:r>
            <w:r w:rsidR="007440A3" w:rsidRPr="00187A76">
              <w:rPr>
                <w:rFonts w:cs="Arial"/>
              </w:rPr>
              <w:t xml:space="preserve"> Bissau (voir le </w:t>
            </w:r>
            <w:r w:rsidR="009635AC" w:rsidRPr="00187A76">
              <w:rPr>
                <w:rFonts w:cs="Arial"/>
              </w:rPr>
              <w:t>détail</w:t>
            </w:r>
            <w:r w:rsidR="007440A3" w:rsidRPr="00187A76">
              <w:rPr>
                <w:rFonts w:cs="Arial"/>
              </w:rPr>
              <w:t xml:space="preserve"> dans les te</w:t>
            </w:r>
            <w:r w:rsidR="007440A3">
              <w:rPr>
                <w:rFonts w:cs="Arial"/>
              </w:rPr>
              <w:t xml:space="preserve">rmes de </w:t>
            </w:r>
            <w:r w:rsidR="009635AC">
              <w:rPr>
                <w:rFonts w:cs="Arial"/>
              </w:rPr>
              <w:t>référence</w:t>
            </w:r>
            <w:r w:rsidR="007440A3">
              <w:rPr>
                <w:rFonts w:cs="Arial"/>
              </w:rPr>
              <w:t xml:space="preserve">) </w:t>
            </w:r>
            <w:r w:rsidR="00037C1A" w:rsidRPr="00187A76">
              <w:rPr>
                <w:rFonts w:cs="Arial"/>
              </w:rPr>
              <w:t xml:space="preserve"> </w:t>
            </w:r>
          </w:p>
          <w:p w14:paraId="19E946D2" w14:textId="672EABCE" w:rsidR="00037C1A" w:rsidRPr="00187A76" w:rsidRDefault="00037C1A" w:rsidP="00B35622">
            <w:pPr>
              <w:tabs>
                <w:tab w:val="left" w:pos="2160"/>
              </w:tabs>
              <w:ind w:left="2160" w:hanging="2160"/>
              <w:jc w:val="both"/>
              <w:rPr>
                <w:rFonts w:cs="Arial"/>
              </w:rPr>
            </w:pPr>
            <w:proofErr w:type="spellStart"/>
            <w:r w:rsidRPr="00187A76">
              <w:rPr>
                <w:rFonts w:cs="Arial"/>
              </w:rPr>
              <w:t>Additional</w:t>
            </w:r>
            <w:proofErr w:type="spellEnd"/>
            <w:r w:rsidRPr="00187A76">
              <w:rPr>
                <w:rFonts w:cs="Arial"/>
              </w:rPr>
              <w:t xml:space="preserve"> </w:t>
            </w:r>
            <w:proofErr w:type="spellStart"/>
            <w:r w:rsidRPr="00187A76">
              <w:rPr>
                <w:rFonts w:cs="Arial"/>
              </w:rPr>
              <w:t>Category</w:t>
            </w:r>
            <w:proofErr w:type="spellEnd"/>
            <w:r w:rsidRPr="00187A76">
              <w:rPr>
                <w:rFonts w:cs="Arial"/>
              </w:rPr>
              <w:t xml:space="preserve"> :      </w:t>
            </w:r>
            <w:r w:rsidR="00B54274" w:rsidRPr="00187A76">
              <w:rPr>
                <w:rFonts w:cs="Arial"/>
              </w:rPr>
              <w:t>Environnement et climat</w:t>
            </w:r>
          </w:p>
          <w:p w14:paraId="254EA8FA" w14:textId="088773A0" w:rsidR="00037C1A" w:rsidRPr="007E0A9A" w:rsidRDefault="00037C1A" w:rsidP="00B35622">
            <w:pPr>
              <w:tabs>
                <w:tab w:val="left" w:pos="2160"/>
              </w:tabs>
              <w:ind w:left="2160" w:hanging="2160"/>
              <w:jc w:val="both"/>
              <w:rPr>
                <w:rFonts w:cs="Arial"/>
              </w:rPr>
            </w:pPr>
            <w:r w:rsidRPr="007E0A9A">
              <w:rPr>
                <w:rFonts w:cs="Arial"/>
              </w:rPr>
              <w:t xml:space="preserve">Type of </w:t>
            </w:r>
            <w:proofErr w:type="spellStart"/>
            <w:r w:rsidRPr="007E0A9A">
              <w:rPr>
                <w:rFonts w:cs="Arial"/>
              </w:rPr>
              <w:t>contract</w:t>
            </w:r>
            <w:proofErr w:type="spellEnd"/>
            <w:r w:rsidRPr="007E0A9A">
              <w:rPr>
                <w:rFonts w:cs="Arial"/>
              </w:rPr>
              <w:t xml:space="preserve"> :          </w:t>
            </w:r>
            <w:r w:rsidR="00A612B2" w:rsidRPr="007E0A9A">
              <w:rPr>
                <w:rFonts w:cs="Arial"/>
              </w:rPr>
              <w:t>Contrat professionnel</w:t>
            </w:r>
          </w:p>
          <w:p w14:paraId="55B54B9F" w14:textId="4AF626A8" w:rsidR="00037C1A" w:rsidRPr="007E0A9A" w:rsidRDefault="00037C1A" w:rsidP="00B35622">
            <w:pPr>
              <w:jc w:val="both"/>
              <w:rPr>
                <w:rFonts w:cs="Arial"/>
              </w:rPr>
            </w:pPr>
            <w:r w:rsidRPr="007E0A9A">
              <w:rPr>
                <w:rFonts w:cs="Arial"/>
              </w:rPr>
              <w:t xml:space="preserve">Post </w:t>
            </w:r>
            <w:proofErr w:type="spellStart"/>
            <w:r w:rsidRPr="007E0A9A">
              <w:rPr>
                <w:rFonts w:cs="Arial"/>
              </w:rPr>
              <w:t>Level</w:t>
            </w:r>
            <w:proofErr w:type="spellEnd"/>
            <w:r w:rsidRPr="007E0A9A">
              <w:rPr>
                <w:rFonts w:cs="Arial"/>
              </w:rPr>
              <w:t xml:space="preserve"> :                     </w:t>
            </w:r>
            <w:r w:rsidR="004A1126" w:rsidRPr="007E0A9A">
              <w:rPr>
                <w:rFonts w:cs="Arial"/>
              </w:rPr>
              <w:t>I</w:t>
            </w:r>
            <w:r w:rsidRPr="007E0A9A">
              <w:rPr>
                <w:rFonts w:cs="Arial"/>
              </w:rPr>
              <w:t xml:space="preserve">nternational consulting </w:t>
            </w:r>
            <w:proofErr w:type="spellStart"/>
            <w:r w:rsidRPr="007E0A9A">
              <w:rPr>
                <w:rFonts w:cs="Arial"/>
              </w:rPr>
              <w:t>firm</w:t>
            </w:r>
            <w:proofErr w:type="spellEnd"/>
            <w:r w:rsidRPr="007E0A9A">
              <w:rPr>
                <w:rFonts w:cs="Arial"/>
              </w:rPr>
              <w:t xml:space="preserve"> </w:t>
            </w:r>
          </w:p>
          <w:p w14:paraId="2722F392" w14:textId="227BD530" w:rsidR="00037C1A" w:rsidRPr="00187A76" w:rsidRDefault="00037C1A" w:rsidP="00B35622">
            <w:pPr>
              <w:tabs>
                <w:tab w:val="left" w:pos="2160"/>
              </w:tabs>
              <w:ind w:left="2160" w:hanging="2160"/>
              <w:jc w:val="both"/>
              <w:rPr>
                <w:rFonts w:cs="Arial"/>
              </w:rPr>
            </w:pPr>
            <w:proofErr w:type="spellStart"/>
            <w:r w:rsidRPr="00187A76">
              <w:rPr>
                <w:rFonts w:cs="Arial"/>
              </w:rPr>
              <w:t>Languages</w:t>
            </w:r>
            <w:proofErr w:type="spellEnd"/>
            <w:r w:rsidRPr="00187A76">
              <w:rPr>
                <w:rFonts w:cs="Arial"/>
              </w:rPr>
              <w:t xml:space="preserve"> </w:t>
            </w:r>
            <w:proofErr w:type="spellStart"/>
            <w:proofErr w:type="gramStart"/>
            <w:r w:rsidRPr="00187A76">
              <w:rPr>
                <w:rFonts w:cs="Arial"/>
              </w:rPr>
              <w:t>required</w:t>
            </w:r>
            <w:proofErr w:type="spellEnd"/>
            <w:r w:rsidRPr="00187A76">
              <w:rPr>
                <w:rFonts w:cs="Arial"/>
              </w:rPr>
              <w:t>:</w:t>
            </w:r>
            <w:proofErr w:type="gramEnd"/>
            <w:r w:rsidRPr="00187A76">
              <w:rPr>
                <w:rFonts w:cs="Arial"/>
              </w:rPr>
              <w:t xml:space="preserve">     </w:t>
            </w:r>
            <w:r w:rsidR="00C21F17" w:rsidRPr="00187A76">
              <w:rPr>
                <w:rFonts w:cs="Arial"/>
              </w:rPr>
              <w:t>Français</w:t>
            </w:r>
            <w:r w:rsidR="00E859FF" w:rsidRPr="00187A76">
              <w:rPr>
                <w:rFonts w:cs="Arial"/>
              </w:rPr>
              <w:t xml:space="preserve"> et Po</w:t>
            </w:r>
            <w:r w:rsidR="00E859FF">
              <w:rPr>
                <w:rFonts w:cs="Arial"/>
              </w:rPr>
              <w:t>rtugais (voir le détails dans les termes de référence)</w:t>
            </w:r>
          </w:p>
          <w:p w14:paraId="02E6F598" w14:textId="7F23ABE6" w:rsidR="00037C1A" w:rsidRPr="00187A76" w:rsidRDefault="00037C1A" w:rsidP="00B35622">
            <w:pPr>
              <w:tabs>
                <w:tab w:val="left" w:pos="3315"/>
              </w:tabs>
              <w:ind w:left="3315" w:hanging="3315"/>
              <w:jc w:val="both"/>
              <w:rPr>
                <w:rFonts w:cs="Arial"/>
                <w:lang w:val="en-US"/>
              </w:rPr>
            </w:pPr>
            <w:r w:rsidRPr="00187A76">
              <w:rPr>
                <w:rFonts w:cs="Arial"/>
                <w:lang w:val="en-US"/>
              </w:rPr>
              <w:t xml:space="preserve">Duration of initial </w:t>
            </w:r>
            <w:r w:rsidR="003C71FE" w:rsidRPr="00187A76">
              <w:rPr>
                <w:rFonts w:cs="Arial"/>
                <w:lang w:val="en-US"/>
              </w:rPr>
              <w:t>contract:</w:t>
            </w:r>
            <w:r w:rsidRPr="00187A76">
              <w:rPr>
                <w:rFonts w:cs="Arial"/>
                <w:lang w:val="en-US"/>
              </w:rPr>
              <w:t xml:space="preserve">  </w:t>
            </w:r>
            <w:r w:rsidR="00404AA2">
              <w:rPr>
                <w:rFonts w:cs="Arial"/>
                <w:lang w:val="en-US"/>
              </w:rPr>
              <w:t xml:space="preserve">10 </w:t>
            </w:r>
            <w:proofErr w:type="spellStart"/>
            <w:r w:rsidR="00AA119C">
              <w:rPr>
                <w:rFonts w:cs="Arial"/>
                <w:lang w:val="en-US"/>
              </w:rPr>
              <w:t>mois</w:t>
            </w:r>
            <w:proofErr w:type="spellEnd"/>
            <w:r w:rsidR="00404AA2">
              <w:rPr>
                <w:rFonts w:cs="Arial"/>
                <w:lang w:val="en-US"/>
              </w:rPr>
              <w:t xml:space="preserve"> </w:t>
            </w:r>
          </w:p>
          <w:p w14:paraId="505B4D78" w14:textId="16868946" w:rsidR="00037C1A" w:rsidRPr="00187A76" w:rsidRDefault="00037C1A" w:rsidP="001268D3">
            <w:pPr>
              <w:ind w:left="3315" w:hanging="3315"/>
              <w:jc w:val="both"/>
              <w:rPr>
                <w:rFonts w:cs="Arial"/>
                <w:lang w:val="en-US"/>
              </w:rPr>
            </w:pPr>
            <w:r w:rsidRPr="00187A76">
              <w:rPr>
                <w:rFonts w:cs="Arial"/>
                <w:lang w:val="en-US"/>
              </w:rPr>
              <w:t xml:space="preserve">Expected duration of </w:t>
            </w:r>
            <w:r w:rsidR="00AA119C" w:rsidRPr="00187A76">
              <w:rPr>
                <w:rFonts w:cs="Arial"/>
                <w:lang w:val="en-US"/>
              </w:rPr>
              <w:t>assignment:</w:t>
            </w:r>
            <w:r w:rsidRPr="00187A76">
              <w:rPr>
                <w:rFonts w:cs="Arial"/>
                <w:lang w:val="en-US"/>
              </w:rPr>
              <w:t xml:space="preserve"> </w:t>
            </w:r>
            <w:r w:rsidR="00A477F3">
              <w:rPr>
                <w:rFonts w:cs="Arial"/>
                <w:lang w:val="en-US"/>
              </w:rPr>
              <w:t xml:space="preserve">140 hommes </w:t>
            </w:r>
            <w:proofErr w:type="spellStart"/>
            <w:r w:rsidR="00A477F3">
              <w:rPr>
                <w:rFonts w:cs="Arial"/>
                <w:lang w:val="en-US"/>
              </w:rPr>
              <w:t>jours</w:t>
            </w:r>
            <w:proofErr w:type="spellEnd"/>
            <w:r w:rsidR="00A477F3">
              <w:rPr>
                <w:rFonts w:cs="Arial"/>
                <w:lang w:val="en-US"/>
              </w:rPr>
              <w:t>.</w:t>
            </w:r>
            <w:r w:rsidRPr="00187A76">
              <w:rPr>
                <w:rFonts w:cs="Arial"/>
                <w:lang w:val="en-US"/>
              </w:rPr>
              <w:t xml:space="preserve">       </w:t>
            </w:r>
          </w:p>
        </w:tc>
      </w:tr>
    </w:tbl>
    <w:p w14:paraId="4C519555" w14:textId="70DAAF40" w:rsidR="00620AF0" w:rsidRPr="00187A76" w:rsidRDefault="00620AF0" w:rsidP="00620AF0">
      <w:pPr>
        <w:pStyle w:val="Paragraphedeliste"/>
        <w:jc w:val="both"/>
        <w:rPr>
          <w:b/>
          <w:sz w:val="24"/>
          <w:szCs w:val="24"/>
          <w:lang w:val="en-US"/>
        </w:rPr>
      </w:pPr>
    </w:p>
    <w:p w14:paraId="1BFBF221" w14:textId="77777777" w:rsidR="00620AF0" w:rsidRPr="00187A76" w:rsidRDefault="00620AF0" w:rsidP="00187A76">
      <w:pPr>
        <w:pStyle w:val="Paragraphedeliste"/>
        <w:jc w:val="both"/>
        <w:rPr>
          <w:b/>
          <w:sz w:val="24"/>
          <w:szCs w:val="24"/>
          <w:lang w:val="en-US"/>
        </w:rPr>
      </w:pPr>
    </w:p>
    <w:p w14:paraId="74153FE4" w14:textId="38AA1B9D" w:rsidR="00724306" w:rsidRPr="005F4500" w:rsidRDefault="008D6E68" w:rsidP="00BD456A">
      <w:pPr>
        <w:pStyle w:val="Paragraphedeliste"/>
        <w:numPr>
          <w:ilvl w:val="0"/>
          <w:numId w:val="17"/>
        </w:numPr>
        <w:jc w:val="both"/>
        <w:rPr>
          <w:b/>
          <w:sz w:val="24"/>
          <w:szCs w:val="24"/>
        </w:rPr>
      </w:pPr>
      <w:r w:rsidRPr="005F4500">
        <w:rPr>
          <w:b/>
          <w:sz w:val="24"/>
          <w:szCs w:val="24"/>
        </w:rPr>
        <w:t>CONTEXTE</w:t>
      </w:r>
    </w:p>
    <w:p w14:paraId="06A9E907" w14:textId="77777777" w:rsidR="00D2300E" w:rsidRDefault="00D2300E" w:rsidP="009A78FC">
      <w:pPr>
        <w:jc w:val="both"/>
        <w:rPr>
          <w:sz w:val="24"/>
          <w:szCs w:val="24"/>
        </w:rPr>
      </w:pPr>
      <w:r w:rsidRPr="009A78FC">
        <w:rPr>
          <w:sz w:val="24"/>
          <w:szCs w:val="24"/>
        </w:rPr>
        <w:t>Depuis l’adoption de l’accord de Paris, en dépit des politiques climatiques engagées par les pays, les émissions mondiales de GES ont continué à augmenter durant les trois dernières années. Pour parvenir à la neutralité carbone d’ici 2050 comme le recommande le rapport spécial du Groupe Intergouvernemental sur l’Evolution du Climat (GIEC) sur les conséquences d’un réchauffement climatique de 1,5°C, des modifications profondes doivent être engagées rapidement pour combler l’écart entre les objectifs visés par l’accord de Paris et les tendances actuelles de l’évolution des émissions de GES.</w:t>
      </w:r>
    </w:p>
    <w:p w14:paraId="7BF3AE41" w14:textId="6F94BEA0" w:rsidR="00D2300E" w:rsidRDefault="00D2300E" w:rsidP="009A78FC">
      <w:pPr>
        <w:jc w:val="both"/>
        <w:rPr>
          <w:sz w:val="24"/>
          <w:szCs w:val="24"/>
        </w:rPr>
      </w:pPr>
      <w:r w:rsidRPr="009A78FC">
        <w:rPr>
          <w:sz w:val="24"/>
          <w:szCs w:val="24"/>
        </w:rPr>
        <w:t>Pour contenir l’augmentation de la température en dessous de 2°C voire 1,5°C, l’accord de Paris a invité l’ensemble des parties à la Convention Cadre des Nations Unies sur les Changements Climatique (CCNUCC) à établir, communiquer et actualiser leur Contribution Déterminée au niveau National (CDN) tous les cinq ans. La CDN représente un instrument de politique publique qui traduit les efforts de lutte contre les changements climatiques par les pays pour atteindre les objectifs de l’accord de Paris.</w:t>
      </w:r>
    </w:p>
    <w:p w14:paraId="3861E0EF" w14:textId="7A9DC3E9" w:rsidR="00B127A5" w:rsidRDefault="00B127A5" w:rsidP="009A78FC">
      <w:pPr>
        <w:jc w:val="both"/>
        <w:rPr>
          <w:sz w:val="24"/>
          <w:szCs w:val="24"/>
        </w:rPr>
      </w:pPr>
      <w:r>
        <w:rPr>
          <w:sz w:val="24"/>
          <w:szCs w:val="24"/>
        </w:rPr>
        <w:t xml:space="preserve">Bien que la Guinée Bissau </w:t>
      </w:r>
      <w:r w:rsidR="00486462">
        <w:rPr>
          <w:sz w:val="24"/>
          <w:szCs w:val="24"/>
        </w:rPr>
        <w:t>du fait de</w:t>
      </w:r>
      <w:r>
        <w:rPr>
          <w:sz w:val="24"/>
          <w:szCs w:val="24"/>
        </w:rPr>
        <w:t xml:space="preserve"> sa structure économique </w:t>
      </w:r>
      <w:r w:rsidR="00486462">
        <w:rPr>
          <w:sz w:val="24"/>
          <w:szCs w:val="24"/>
        </w:rPr>
        <w:t>(</w:t>
      </w:r>
      <w:r w:rsidR="00486462" w:rsidRPr="005F4500">
        <w:rPr>
          <w:sz w:val="24"/>
          <w:szCs w:val="24"/>
        </w:rPr>
        <w:t>classé</w:t>
      </w:r>
      <w:r w:rsidR="00680387">
        <w:rPr>
          <w:sz w:val="24"/>
          <w:szCs w:val="24"/>
        </w:rPr>
        <w:t>e</w:t>
      </w:r>
      <w:r w:rsidR="00486462" w:rsidRPr="005F4500">
        <w:rPr>
          <w:sz w:val="24"/>
          <w:szCs w:val="24"/>
        </w:rPr>
        <w:t xml:space="preserve"> parmi les pays les moins avancés (PMA) et les petits États insulaires en développement (PIED)) </w:t>
      </w:r>
      <w:r w:rsidR="005044A4">
        <w:rPr>
          <w:sz w:val="24"/>
          <w:szCs w:val="24"/>
        </w:rPr>
        <w:t xml:space="preserve">ne </w:t>
      </w:r>
      <w:r>
        <w:rPr>
          <w:sz w:val="24"/>
          <w:szCs w:val="24"/>
        </w:rPr>
        <w:t xml:space="preserve">contribue </w:t>
      </w:r>
      <w:r w:rsidR="005044A4">
        <w:rPr>
          <w:sz w:val="24"/>
          <w:szCs w:val="24"/>
        </w:rPr>
        <w:t>pas</w:t>
      </w:r>
      <w:r>
        <w:rPr>
          <w:sz w:val="24"/>
          <w:szCs w:val="24"/>
        </w:rPr>
        <w:t xml:space="preserve"> aux émissions </w:t>
      </w:r>
      <w:r w:rsidR="001F4A34">
        <w:rPr>
          <w:sz w:val="24"/>
          <w:szCs w:val="24"/>
        </w:rPr>
        <w:t xml:space="preserve">mondiales </w:t>
      </w:r>
      <w:r>
        <w:rPr>
          <w:sz w:val="24"/>
          <w:szCs w:val="24"/>
        </w:rPr>
        <w:t xml:space="preserve">de GES, son engagement avec la communauté internationale pour lutter contre réchauffement climatique </w:t>
      </w:r>
      <w:r w:rsidR="00FF589D">
        <w:rPr>
          <w:sz w:val="24"/>
          <w:szCs w:val="24"/>
        </w:rPr>
        <w:t>s</w:t>
      </w:r>
      <w:r w:rsidR="00B95997">
        <w:rPr>
          <w:sz w:val="24"/>
          <w:szCs w:val="24"/>
        </w:rPr>
        <w:t>’</w:t>
      </w:r>
      <w:r w:rsidR="00FF589D">
        <w:rPr>
          <w:sz w:val="24"/>
          <w:szCs w:val="24"/>
        </w:rPr>
        <w:t xml:space="preserve">est manifeste par la soumission de sa première CDN en 2015 mais </w:t>
      </w:r>
      <w:r w:rsidR="00FF589D" w:rsidRPr="00215EAB">
        <w:rPr>
          <w:sz w:val="24"/>
          <w:szCs w:val="24"/>
        </w:rPr>
        <w:t xml:space="preserve">également </w:t>
      </w:r>
      <w:r w:rsidR="00FF589D" w:rsidRPr="00C267E1">
        <w:rPr>
          <w:sz w:val="24"/>
          <w:szCs w:val="24"/>
        </w:rPr>
        <w:t xml:space="preserve">sa ratification de l’Accord de Paris </w:t>
      </w:r>
      <w:r w:rsidR="00B0733A">
        <w:rPr>
          <w:sz w:val="24"/>
          <w:szCs w:val="24"/>
        </w:rPr>
        <w:t>le 22</w:t>
      </w:r>
      <w:r w:rsidR="00FF589D" w:rsidRPr="00C267E1">
        <w:rPr>
          <w:sz w:val="24"/>
          <w:szCs w:val="24"/>
        </w:rPr>
        <w:t xml:space="preserve"> </w:t>
      </w:r>
      <w:r w:rsidR="00136799">
        <w:rPr>
          <w:sz w:val="24"/>
          <w:szCs w:val="24"/>
        </w:rPr>
        <w:t>Octobre 2018</w:t>
      </w:r>
      <w:r w:rsidR="00316377">
        <w:rPr>
          <w:sz w:val="24"/>
          <w:szCs w:val="24"/>
        </w:rPr>
        <w:t xml:space="preserve"> par l’</w:t>
      </w:r>
      <w:r w:rsidR="00934360">
        <w:rPr>
          <w:sz w:val="24"/>
          <w:szCs w:val="24"/>
        </w:rPr>
        <w:t>Assemblée</w:t>
      </w:r>
      <w:r w:rsidR="00316377">
        <w:rPr>
          <w:sz w:val="24"/>
          <w:szCs w:val="24"/>
        </w:rPr>
        <w:t xml:space="preserve"> Nationale Populaire</w:t>
      </w:r>
      <w:r w:rsidR="00FF589D">
        <w:rPr>
          <w:sz w:val="24"/>
          <w:szCs w:val="24"/>
        </w:rPr>
        <w:t xml:space="preserve">. </w:t>
      </w:r>
      <w:r w:rsidR="00EA57D1">
        <w:rPr>
          <w:sz w:val="24"/>
          <w:szCs w:val="24"/>
        </w:rPr>
        <w:t xml:space="preserve">La </w:t>
      </w:r>
      <w:r w:rsidR="00AD7A79">
        <w:rPr>
          <w:sz w:val="24"/>
          <w:szCs w:val="24"/>
        </w:rPr>
        <w:t>Guinée</w:t>
      </w:r>
      <w:r w:rsidR="00EA57D1">
        <w:rPr>
          <w:sz w:val="24"/>
          <w:szCs w:val="24"/>
        </w:rPr>
        <w:t xml:space="preserve"> Bissau a également soumis sa troisième communication nationale en 2018 </w:t>
      </w:r>
      <w:r w:rsidR="00433536">
        <w:rPr>
          <w:sz w:val="24"/>
          <w:szCs w:val="24"/>
        </w:rPr>
        <w:t>ainsi que</w:t>
      </w:r>
      <w:r w:rsidR="00EA57D1">
        <w:rPr>
          <w:sz w:val="24"/>
          <w:szCs w:val="24"/>
        </w:rPr>
        <w:t xml:space="preserve"> son premier BUR en 2019</w:t>
      </w:r>
      <w:r w:rsidR="00433536">
        <w:rPr>
          <w:sz w:val="24"/>
          <w:szCs w:val="24"/>
        </w:rPr>
        <w:t xml:space="preserve"> dans une optique de transparence sur </w:t>
      </w:r>
      <w:proofErr w:type="gramStart"/>
      <w:r w:rsidR="00433536">
        <w:rPr>
          <w:sz w:val="24"/>
          <w:szCs w:val="24"/>
        </w:rPr>
        <w:t>ses</w:t>
      </w:r>
      <w:proofErr w:type="gramEnd"/>
      <w:r w:rsidR="00433536">
        <w:rPr>
          <w:sz w:val="24"/>
          <w:szCs w:val="24"/>
        </w:rPr>
        <w:t xml:space="preserve"> efforts en matière de politique climatique</w:t>
      </w:r>
      <w:r w:rsidR="00EA57D1">
        <w:rPr>
          <w:sz w:val="24"/>
          <w:szCs w:val="24"/>
        </w:rPr>
        <w:t xml:space="preserve">. </w:t>
      </w:r>
    </w:p>
    <w:p w14:paraId="0B886D06" w14:textId="7FF8E645" w:rsidR="00A85FA4" w:rsidRPr="009A78FC" w:rsidRDefault="00A85FA4" w:rsidP="00A85FA4">
      <w:pPr>
        <w:jc w:val="both"/>
        <w:rPr>
          <w:sz w:val="24"/>
          <w:szCs w:val="24"/>
        </w:rPr>
      </w:pPr>
      <w:r w:rsidRPr="009A78FC">
        <w:rPr>
          <w:sz w:val="24"/>
          <w:szCs w:val="24"/>
        </w:rPr>
        <w:t xml:space="preserve">La mise à jour de la CDN représente pour la </w:t>
      </w:r>
      <w:r>
        <w:rPr>
          <w:sz w:val="24"/>
          <w:szCs w:val="24"/>
        </w:rPr>
        <w:t>Guinée Bissau</w:t>
      </w:r>
      <w:r w:rsidRPr="009A78FC">
        <w:rPr>
          <w:sz w:val="24"/>
          <w:szCs w:val="24"/>
        </w:rPr>
        <w:t xml:space="preserve"> une occasion pour</w:t>
      </w:r>
      <w:r w:rsidR="003B261A">
        <w:rPr>
          <w:sz w:val="24"/>
          <w:szCs w:val="24"/>
        </w:rPr>
        <w:t xml:space="preserve"> renforcer</w:t>
      </w:r>
      <w:r w:rsidRPr="009A78FC">
        <w:rPr>
          <w:sz w:val="24"/>
          <w:szCs w:val="24"/>
        </w:rPr>
        <w:t xml:space="preserve"> sa politique</w:t>
      </w:r>
      <w:r>
        <w:rPr>
          <w:sz w:val="24"/>
          <w:szCs w:val="24"/>
        </w:rPr>
        <w:t xml:space="preserve"> climatique</w:t>
      </w:r>
      <w:r w:rsidR="003B3F6B">
        <w:rPr>
          <w:sz w:val="24"/>
          <w:szCs w:val="24"/>
        </w:rPr>
        <w:t>, y compris</w:t>
      </w:r>
      <w:r w:rsidRPr="009A78FC">
        <w:rPr>
          <w:sz w:val="24"/>
          <w:szCs w:val="24"/>
        </w:rPr>
        <w:t xml:space="preserve"> d’atténuation dans l’ensemble des secteurs de l’activité économique en vue d’accélérer </w:t>
      </w:r>
      <w:r>
        <w:rPr>
          <w:sz w:val="24"/>
          <w:szCs w:val="24"/>
        </w:rPr>
        <w:t>son développement économique et son relèvement post pandémie COVID19</w:t>
      </w:r>
      <w:r w:rsidR="00536862">
        <w:rPr>
          <w:sz w:val="24"/>
          <w:szCs w:val="24"/>
        </w:rPr>
        <w:t xml:space="preserve"> en intégrant le risque climatique dans les différentes politiques sectorielles comme </w:t>
      </w:r>
      <w:r w:rsidR="009A67DC">
        <w:rPr>
          <w:sz w:val="24"/>
          <w:szCs w:val="24"/>
        </w:rPr>
        <w:t>opportunité</w:t>
      </w:r>
      <w:r w:rsidR="00536862">
        <w:rPr>
          <w:sz w:val="24"/>
          <w:szCs w:val="24"/>
        </w:rPr>
        <w:t xml:space="preserve"> de </w:t>
      </w:r>
      <w:r w:rsidR="009A67DC">
        <w:rPr>
          <w:sz w:val="24"/>
          <w:szCs w:val="24"/>
        </w:rPr>
        <w:t>durabilité</w:t>
      </w:r>
      <w:r w:rsidR="00536862">
        <w:rPr>
          <w:sz w:val="24"/>
          <w:szCs w:val="24"/>
        </w:rPr>
        <w:t xml:space="preserve"> et de mobilisation de finance climat</w:t>
      </w:r>
      <w:r>
        <w:rPr>
          <w:sz w:val="24"/>
          <w:szCs w:val="24"/>
        </w:rPr>
        <w:t xml:space="preserve">. </w:t>
      </w:r>
      <w:r w:rsidRPr="009A78FC">
        <w:rPr>
          <w:sz w:val="24"/>
          <w:szCs w:val="24"/>
        </w:rPr>
        <w:t xml:space="preserve"> </w:t>
      </w:r>
    </w:p>
    <w:p w14:paraId="378500ED" w14:textId="3486B958" w:rsidR="00356D83" w:rsidRPr="009A78FC" w:rsidRDefault="002D6F12" w:rsidP="009A78FC">
      <w:pPr>
        <w:jc w:val="both"/>
        <w:rPr>
          <w:sz w:val="24"/>
          <w:szCs w:val="24"/>
        </w:rPr>
      </w:pPr>
      <w:r w:rsidRPr="009A78FC">
        <w:rPr>
          <w:sz w:val="24"/>
          <w:szCs w:val="24"/>
        </w:rPr>
        <w:t>Les travaux de</w:t>
      </w:r>
      <w:r w:rsidR="005F443B" w:rsidRPr="009A78FC">
        <w:rPr>
          <w:sz w:val="24"/>
          <w:szCs w:val="24"/>
        </w:rPr>
        <w:t xml:space="preserve"> mise à jour</w:t>
      </w:r>
      <w:r w:rsidR="00356D83" w:rsidRPr="009A78FC">
        <w:rPr>
          <w:sz w:val="24"/>
          <w:szCs w:val="24"/>
        </w:rPr>
        <w:t xml:space="preserve"> de la </w:t>
      </w:r>
      <w:r w:rsidR="009E04E5" w:rsidRPr="009A78FC">
        <w:rPr>
          <w:sz w:val="24"/>
          <w:szCs w:val="24"/>
        </w:rPr>
        <w:t>C</w:t>
      </w:r>
      <w:r w:rsidR="00356D83" w:rsidRPr="009A78FC">
        <w:rPr>
          <w:sz w:val="24"/>
          <w:szCs w:val="24"/>
        </w:rPr>
        <w:t>D</w:t>
      </w:r>
      <w:r w:rsidR="009E04E5" w:rsidRPr="009A78FC">
        <w:rPr>
          <w:sz w:val="24"/>
          <w:szCs w:val="24"/>
        </w:rPr>
        <w:t>N</w:t>
      </w:r>
      <w:r w:rsidR="00356D83" w:rsidRPr="009A78FC">
        <w:rPr>
          <w:sz w:val="24"/>
          <w:szCs w:val="24"/>
        </w:rPr>
        <w:t xml:space="preserve"> </w:t>
      </w:r>
      <w:r w:rsidR="002A63D2">
        <w:rPr>
          <w:sz w:val="24"/>
          <w:szCs w:val="24"/>
        </w:rPr>
        <w:t xml:space="preserve">en </w:t>
      </w:r>
      <w:r w:rsidR="00897984">
        <w:rPr>
          <w:sz w:val="24"/>
          <w:szCs w:val="24"/>
        </w:rPr>
        <w:t>Guinée</w:t>
      </w:r>
      <w:r w:rsidR="002A63D2">
        <w:rPr>
          <w:sz w:val="24"/>
          <w:szCs w:val="24"/>
        </w:rPr>
        <w:t xml:space="preserve"> Bissau</w:t>
      </w:r>
      <w:r w:rsidR="002A63D2" w:rsidRPr="009A78FC">
        <w:rPr>
          <w:sz w:val="24"/>
          <w:szCs w:val="24"/>
        </w:rPr>
        <w:t xml:space="preserve"> </w:t>
      </w:r>
      <w:r w:rsidR="00356D83" w:rsidRPr="009A78FC">
        <w:rPr>
          <w:sz w:val="24"/>
          <w:szCs w:val="24"/>
        </w:rPr>
        <w:t>doi</w:t>
      </w:r>
      <w:r w:rsidRPr="009A78FC">
        <w:rPr>
          <w:sz w:val="24"/>
          <w:szCs w:val="24"/>
        </w:rPr>
        <w:t>ven</w:t>
      </w:r>
      <w:r w:rsidR="00356D83" w:rsidRPr="009A78FC">
        <w:rPr>
          <w:sz w:val="24"/>
          <w:szCs w:val="24"/>
        </w:rPr>
        <w:t>t prendre en considération à la fois les règles et procédures d’opérationnalisation de l’accord de Paris et les spécificités socio-économiques du contexte national.</w:t>
      </w:r>
    </w:p>
    <w:p w14:paraId="55C1BA38" w14:textId="1ADD784B" w:rsidR="0011577E" w:rsidRPr="009A78FC" w:rsidRDefault="00356D83" w:rsidP="005F4500">
      <w:pPr>
        <w:jc w:val="both"/>
        <w:rPr>
          <w:sz w:val="24"/>
          <w:szCs w:val="24"/>
        </w:rPr>
      </w:pPr>
      <w:r w:rsidRPr="009A78FC">
        <w:rPr>
          <w:sz w:val="24"/>
          <w:szCs w:val="24"/>
        </w:rPr>
        <w:t>Selon le</w:t>
      </w:r>
      <w:r w:rsidR="003879D3" w:rsidRPr="009A78FC">
        <w:rPr>
          <w:sz w:val="24"/>
          <w:szCs w:val="24"/>
        </w:rPr>
        <w:t>s règles et procédures adoptées lors de la vingt-quatrième conférence des parties (COP 24) à la CCNUCC, les pays sont encouragés à viser des objectifs d’atténuation des émissions de GES qui couvrent l’ensemble des secteurs émetteurs de l’activité économique</w:t>
      </w:r>
      <w:r w:rsidR="00CB5405">
        <w:rPr>
          <w:sz w:val="24"/>
          <w:szCs w:val="24"/>
        </w:rPr>
        <w:t>. Pour le cas de</w:t>
      </w:r>
      <w:r w:rsidR="00705677">
        <w:rPr>
          <w:sz w:val="24"/>
          <w:szCs w:val="24"/>
        </w:rPr>
        <w:t xml:space="preserve"> </w:t>
      </w:r>
      <w:r w:rsidR="00CB5405">
        <w:rPr>
          <w:sz w:val="24"/>
          <w:szCs w:val="24"/>
        </w:rPr>
        <w:t xml:space="preserve">la </w:t>
      </w:r>
      <w:r w:rsidR="00705677">
        <w:rPr>
          <w:sz w:val="24"/>
          <w:szCs w:val="24"/>
        </w:rPr>
        <w:t>Guinée</w:t>
      </w:r>
      <w:r w:rsidR="00CB5405">
        <w:rPr>
          <w:sz w:val="24"/>
          <w:szCs w:val="24"/>
        </w:rPr>
        <w:t xml:space="preserve"> Bissau il s’agit essentiellement des secteurs de l’</w:t>
      </w:r>
      <w:r w:rsidR="003879D3" w:rsidRPr="009A78FC">
        <w:rPr>
          <w:sz w:val="24"/>
          <w:szCs w:val="24"/>
        </w:rPr>
        <w:t xml:space="preserve">Energie, </w:t>
      </w:r>
      <w:r w:rsidR="0089015A" w:rsidRPr="009A78FC">
        <w:rPr>
          <w:sz w:val="24"/>
          <w:szCs w:val="24"/>
        </w:rPr>
        <w:t xml:space="preserve">et </w:t>
      </w:r>
      <w:r w:rsidR="00CB5405">
        <w:rPr>
          <w:sz w:val="24"/>
          <w:szCs w:val="24"/>
        </w:rPr>
        <w:t>de l’</w:t>
      </w:r>
      <w:r w:rsidR="0089015A" w:rsidRPr="009A78FC">
        <w:rPr>
          <w:sz w:val="24"/>
          <w:szCs w:val="24"/>
        </w:rPr>
        <w:t>AFAT (</w:t>
      </w:r>
      <w:r w:rsidR="003879D3" w:rsidRPr="009A78FC">
        <w:rPr>
          <w:sz w:val="24"/>
          <w:szCs w:val="24"/>
        </w:rPr>
        <w:t>Forêt et Affectation des terres</w:t>
      </w:r>
      <w:r w:rsidR="0089015A" w:rsidRPr="009A78FC">
        <w:rPr>
          <w:sz w:val="24"/>
          <w:szCs w:val="24"/>
        </w:rPr>
        <w:t>)</w:t>
      </w:r>
      <w:r w:rsidR="003879D3" w:rsidRPr="009A78FC">
        <w:rPr>
          <w:sz w:val="24"/>
          <w:szCs w:val="24"/>
        </w:rPr>
        <w:t>. Le manuel de</w:t>
      </w:r>
      <w:r w:rsidR="005F443B" w:rsidRPr="009A78FC">
        <w:rPr>
          <w:sz w:val="24"/>
          <w:szCs w:val="24"/>
        </w:rPr>
        <w:t>s règles (</w:t>
      </w:r>
      <w:proofErr w:type="spellStart"/>
      <w:r w:rsidR="005F443B" w:rsidRPr="009A78FC">
        <w:rPr>
          <w:sz w:val="24"/>
          <w:szCs w:val="24"/>
        </w:rPr>
        <w:t>rulebook</w:t>
      </w:r>
      <w:proofErr w:type="spellEnd"/>
      <w:r w:rsidR="005F443B" w:rsidRPr="009A78FC">
        <w:rPr>
          <w:sz w:val="24"/>
          <w:szCs w:val="24"/>
        </w:rPr>
        <w:t>) adopté par la décision 4 de la CMA 1</w:t>
      </w:r>
      <w:r w:rsidR="003879D3" w:rsidRPr="009A78FC">
        <w:rPr>
          <w:sz w:val="24"/>
          <w:szCs w:val="24"/>
        </w:rPr>
        <w:t xml:space="preserve"> </w:t>
      </w:r>
      <w:r w:rsidR="00C71FD9" w:rsidRPr="009A78FC">
        <w:rPr>
          <w:sz w:val="24"/>
          <w:szCs w:val="24"/>
        </w:rPr>
        <w:t xml:space="preserve">devrait permettre de renforcer la transparence de la mise en œuvre de l’accord de Paris et rendre les pays redevables vis-à-vis de leurs engagements. </w:t>
      </w:r>
    </w:p>
    <w:p w14:paraId="3E7858EB" w14:textId="424CF981" w:rsidR="00D417A3" w:rsidRDefault="00CF53E9" w:rsidP="009A78FC">
      <w:pPr>
        <w:jc w:val="both"/>
        <w:rPr>
          <w:sz w:val="24"/>
          <w:szCs w:val="24"/>
        </w:rPr>
      </w:pPr>
      <w:r w:rsidRPr="009A78FC">
        <w:rPr>
          <w:sz w:val="24"/>
          <w:szCs w:val="24"/>
        </w:rPr>
        <w:t>Dans ce contex</w:t>
      </w:r>
      <w:r w:rsidR="0089015A" w:rsidRPr="009A78FC">
        <w:rPr>
          <w:sz w:val="24"/>
          <w:szCs w:val="24"/>
        </w:rPr>
        <w:t>te, conformément aux directives de</w:t>
      </w:r>
      <w:r w:rsidR="00624C30" w:rsidRPr="009A78FC">
        <w:rPr>
          <w:sz w:val="24"/>
          <w:szCs w:val="24"/>
        </w:rPr>
        <w:t xml:space="preserve"> l’article 4</w:t>
      </w:r>
      <w:r w:rsidRPr="009A78FC">
        <w:rPr>
          <w:sz w:val="24"/>
          <w:szCs w:val="24"/>
        </w:rPr>
        <w:t xml:space="preserve"> de l’accord de Paris</w:t>
      </w:r>
      <w:r w:rsidR="00624C30" w:rsidRPr="009A78FC">
        <w:rPr>
          <w:sz w:val="24"/>
          <w:szCs w:val="24"/>
        </w:rPr>
        <w:t>,</w:t>
      </w:r>
      <w:r w:rsidRPr="009A78FC">
        <w:rPr>
          <w:sz w:val="24"/>
          <w:szCs w:val="24"/>
        </w:rPr>
        <w:t xml:space="preserve"> </w:t>
      </w:r>
      <w:r w:rsidR="00D417A3">
        <w:rPr>
          <w:sz w:val="24"/>
          <w:szCs w:val="24"/>
        </w:rPr>
        <w:t xml:space="preserve">le Ministère de l’Environnement et de la Biodiversité, point focal de la CCNUCC en Guinée Bissau et en charge de la coordination du processus de mise </w:t>
      </w:r>
      <w:r w:rsidR="001268D3">
        <w:rPr>
          <w:sz w:val="24"/>
          <w:szCs w:val="24"/>
        </w:rPr>
        <w:t>à</w:t>
      </w:r>
      <w:r w:rsidR="00D417A3">
        <w:rPr>
          <w:sz w:val="24"/>
          <w:szCs w:val="24"/>
        </w:rPr>
        <w:t xml:space="preserve"> jour de la CDN, </w:t>
      </w:r>
      <w:r w:rsidR="00EA313A">
        <w:rPr>
          <w:sz w:val="24"/>
          <w:szCs w:val="24"/>
        </w:rPr>
        <w:t xml:space="preserve">a lancé </w:t>
      </w:r>
      <w:r w:rsidR="00D417A3" w:rsidRPr="009A78FC">
        <w:rPr>
          <w:sz w:val="24"/>
          <w:szCs w:val="24"/>
        </w:rPr>
        <w:t xml:space="preserve">les travaux de mise à jour de la première CDN </w:t>
      </w:r>
      <w:r w:rsidR="00EA313A">
        <w:rPr>
          <w:sz w:val="24"/>
          <w:szCs w:val="24"/>
        </w:rPr>
        <w:t xml:space="preserve">en Septembre 2020 avec une première étape sur le bilan </w:t>
      </w:r>
      <w:r w:rsidR="00DA3767">
        <w:rPr>
          <w:sz w:val="24"/>
          <w:szCs w:val="24"/>
        </w:rPr>
        <w:t>des réalisations</w:t>
      </w:r>
      <w:r w:rsidR="00EA313A">
        <w:rPr>
          <w:sz w:val="24"/>
          <w:szCs w:val="24"/>
        </w:rPr>
        <w:t xml:space="preserve"> des cinq dernières </w:t>
      </w:r>
      <w:r w:rsidR="00EF4786">
        <w:rPr>
          <w:sz w:val="24"/>
          <w:szCs w:val="24"/>
        </w:rPr>
        <w:t>années</w:t>
      </w:r>
      <w:r w:rsidR="00EA313A">
        <w:rPr>
          <w:sz w:val="24"/>
          <w:szCs w:val="24"/>
        </w:rPr>
        <w:t xml:space="preserve">, appuyée par le programme </w:t>
      </w:r>
      <w:r w:rsidR="00EA313A" w:rsidRPr="000669B8">
        <w:rPr>
          <w:rFonts w:cstheme="minorHAnsi"/>
          <w:b/>
        </w:rPr>
        <w:t>AMCC+ AO / GCCA+ WA</w:t>
      </w:r>
      <w:r w:rsidR="00EA313A" w:rsidRPr="009A78FC">
        <w:rPr>
          <w:sz w:val="24"/>
          <w:szCs w:val="24"/>
        </w:rPr>
        <w:t xml:space="preserve"> </w:t>
      </w:r>
      <w:r w:rsidR="00EA313A">
        <w:rPr>
          <w:sz w:val="24"/>
          <w:szCs w:val="24"/>
        </w:rPr>
        <w:t>de l’UE, la CEDEAO et Expertise France</w:t>
      </w:r>
      <w:r w:rsidR="00EF4786">
        <w:rPr>
          <w:sz w:val="24"/>
          <w:szCs w:val="24"/>
        </w:rPr>
        <w:t xml:space="preserve">. </w:t>
      </w:r>
      <w:r w:rsidR="00EA313A">
        <w:rPr>
          <w:sz w:val="24"/>
          <w:szCs w:val="24"/>
        </w:rPr>
        <w:t xml:space="preserve"> </w:t>
      </w:r>
      <w:r w:rsidR="00EF4786">
        <w:rPr>
          <w:sz w:val="24"/>
          <w:szCs w:val="24"/>
        </w:rPr>
        <w:t xml:space="preserve">Dans la continuité de ce processus, le Ministère de l’Environnement et de la Biodiversité a </w:t>
      </w:r>
      <w:r w:rsidR="00C51229">
        <w:rPr>
          <w:sz w:val="24"/>
          <w:szCs w:val="24"/>
        </w:rPr>
        <w:t>sollicité</w:t>
      </w:r>
      <w:r w:rsidR="00EF4786">
        <w:rPr>
          <w:sz w:val="24"/>
          <w:szCs w:val="24"/>
        </w:rPr>
        <w:t xml:space="preserve"> l’appui au PNUD </w:t>
      </w:r>
      <w:r w:rsidR="00D417A3" w:rsidRPr="009A78FC">
        <w:rPr>
          <w:sz w:val="24"/>
          <w:szCs w:val="24"/>
        </w:rPr>
        <w:t>en vue de</w:t>
      </w:r>
      <w:r w:rsidR="00EF4786">
        <w:rPr>
          <w:sz w:val="24"/>
          <w:szCs w:val="24"/>
        </w:rPr>
        <w:t xml:space="preserve"> mettre </w:t>
      </w:r>
      <w:r w:rsidR="00E64EE0">
        <w:rPr>
          <w:sz w:val="24"/>
          <w:szCs w:val="24"/>
        </w:rPr>
        <w:t>à</w:t>
      </w:r>
      <w:r w:rsidR="00EF4786">
        <w:rPr>
          <w:sz w:val="24"/>
          <w:szCs w:val="24"/>
        </w:rPr>
        <w:t xml:space="preserve"> jour la CDN et</w:t>
      </w:r>
      <w:r w:rsidR="00D417A3" w:rsidRPr="009A78FC">
        <w:rPr>
          <w:sz w:val="24"/>
          <w:szCs w:val="24"/>
        </w:rPr>
        <w:t xml:space="preserve"> la soumettre à la CCNUCC avant la tenue de la COP 26 prévue en novembre </w:t>
      </w:r>
      <w:r w:rsidR="00004B9A">
        <w:rPr>
          <w:sz w:val="24"/>
          <w:szCs w:val="24"/>
        </w:rPr>
        <w:t xml:space="preserve">2021. </w:t>
      </w:r>
    </w:p>
    <w:p w14:paraId="3F4A195C" w14:textId="2A6CF17B" w:rsidR="00FA5AEF" w:rsidRDefault="00A92286" w:rsidP="009A78FC">
      <w:pPr>
        <w:jc w:val="both"/>
        <w:rPr>
          <w:sz w:val="24"/>
          <w:szCs w:val="24"/>
        </w:rPr>
      </w:pPr>
      <w:r>
        <w:rPr>
          <w:sz w:val="24"/>
          <w:szCs w:val="24"/>
        </w:rPr>
        <w:t xml:space="preserve">C’est dans ce cadre que </w:t>
      </w:r>
      <w:r w:rsidR="00CF53E9" w:rsidRPr="009A78FC">
        <w:rPr>
          <w:sz w:val="24"/>
          <w:szCs w:val="24"/>
        </w:rPr>
        <w:t xml:space="preserve">le </w:t>
      </w:r>
      <w:r w:rsidR="00AE2A70">
        <w:rPr>
          <w:sz w:val="24"/>
          <w:szCs w:val="24"/>
        </w:rPr>
        <w:t xml:space="preserve">Programme des </w:t>
      </w:r>
      <w:r w:rsidR="00CF377D">
        <w:rPr>
          <w:sz w:val="24"/>
          <w:szCs w:val="24"/>
        </w:rPr>
        <w:t>N</w:t>
      </w:r>
      <w:r w:rsidR="00AE2A70">
        <w:rPr>
          <w:sz w:val="24"/>
          <w:szCs w:val="24"/>
        </w:rPr>
        <w:t>ations Unies pour le Développement (</w:t>
      </w:r>
      <w:r w:rsidR="00CF53E9" w:rsidRPr="009A78FC">
        <w:rPr>
          <w:sz w:val="24"/>
          <w:szCs w:val="24"/>
        </w:rPr>
        <w:t>PNUD</w:t>
      </w:r>
      <w:r w:rsidR="00AE2A70">
        <w:rPr>
          <w:sz w:val="24"/>
          <w:szCs w:val="24"/>
        </w:rPr>
        <w:t>)</w:t>
      </w:r>
      <w:r w:rsidR="00CF53E9" w:rsidRPr="009A78FC">
        <w:rPr>
          <w:sz w:val="24"/>
          <w:szCs w:val="24"/>
        </w:rPr>
        <w:t xml:space="preserve"> envisage</w:t>
      </w:r>
      <w:r w:rsidR="00AE2A70">
        <w:rPr>
          <w:sz w:val="24"/>
          <w:szCs w:val="24"/>
        </w:rPr>
        <w:t xml:space="preserve"> de recruter </w:t>
      </w:r>
      <w:r w:rsidR="00FA27D4">
        <w:rPr>
          <w:sz w:val="24"/>
          <w:szCs w:val="24"/>
        </w:rPr>
        <w:t xml:space="preserve">de l’expertise pour appuyer </w:t>
      </w:r>
      <w:r w:rsidR="00313FCD">
        <w:rPr>
          <w:sz w:val="24"/>
          <w:szCs w:val="24"/>
        </w:rPr>
        <w:t xml:space="preserve">ses partenaires </w:t>
      </w:r>
      <w:r w:rsidR="00EE6303">
        <w:rPr>
          <w:sz w:val="24"/>
          <w:szCs w:val="24"/>
        </w:rPr>
        <w:t xml:space="preserve">en Guinée Bissau </w:t>
      </w:r>
      <w:r w:rsidR="00313FCD">
        <w:rPr>
          <w:sz w:val="24"/>
          <w:szCs w:val="24"/>
        </w:rPr>
        <w:t xml:space="preserve">dans le processus de </w:t>
      </w:r>
      <w:r w:rsidR="00FA27D4">
        <w:rPr>
          <w:sz w:val="24"/>
          <w:szCs w:val="24"/>
        </w:rPr>
        <w:t xml:space="preserve">la mise </w:t>
      </w:r>
      <w:r w:rsidR="007B6013">
        <w:rPr>
          <w:sz w:val="24"/>
          <w:szCs w:val="24"/>
        </w:rPr>
        <w:t>à</w:t>
      </w:r>
      <w:r w:rsidR="00FA27D4">
        <w:rPr>
          <w:sz w:val="24"/>
          <w:szCs w:val="24"/>
        </w:rPr>
        <w:t xml:space="preserve"> jour de la CDN selon les objectifs et la démarche sous </w:t>
      </w:r>
      <w:r w:rsidR="00296341">
        <w:rPr>
          <w:sz w:val="24"/>
          <w:szCs w:val="24"/>
        </w:rPr>
        <w:t>mentionnées</w:t>
      </w:r>
      <w:r w:rsidR="00FA27D4">
        <w:rPr>
          <w:sz w:val="24"/>
          <w:szCs w:val="24"/>
        </w:rPr>
        <w:t xml:space="preserve">. </w:t>
      </w:r>
      <w:r w:rsidR="00312C9D">
        <w:rPr>
          <w:sz w:val="24"/>
          <w:szCs w:val="24"/>
        </w:rPr>
        <w:t xml:space="preserve">Pour pouvoir mettre à jour la CDN dans </w:t>
      </w:r>
      <w:r w:rsidR="00B63ECD">
        <w:rPr>
          <w:sz w:val="24"/>
          <w:szCs w:val="24"/>
        </w:rPr>
        <w:t>c</w:t>
      </w:r>
      <w:r w:rsidR="00312C9D">
        <w:rPr>
          <w:sz w:val="24"/>
          <w:szCs w:val="24"/>
        </w:rPr>
        <w:t xml:space="preserve">es délais impartis, deux </w:t>
      </w:r>
      <w:r w:rsidR="00DE0672">
        <w:rPr>
          <w:sz w:val="24"/>
          <w:szCs w:val="24"/>
        </w:rPr>
        <w:t>appels d’offres</w:t>
      </w:r>
      <w:r w:rsidR="00312C9D">
        <w:rPr>
          <w:sz w:val="24"/>
          <w:szCs w:val="24"/>
        </w:rPr>
        <w:t xml:space="preserve"> seront </w:t>
      </w:r>
      <w:r w:rsidR="00412630">
        <w:rPr>
          <w:sz w:val="24"/>
          <w:szCs w:val="24"/>
        </w:rPr>
        <w:t>lancés</w:t>
      </w:r>
      <w:r w:rsidR="00312C9D">
        <w:rPr>
          <w:sz w:val="24"/>
          <w:szCs w:val="24"/>
        </w:rPr>
        <w:t xml:space="preserve"> en parallèle pour mettre à jour la CDN tant pour le volet de l’adaptation que de l’atténuation</w:t>
      </w:r>
      <w:r w:rsidR="009F15A0">
        <w:rPr>
          <w:sz w:val="24"/>
          <w:szCs w:val="24"/>
        </w:rPr>
        <w:t>.</w:t>
      </w:r>
    </w:p>
    <w:p w14:paraId="3C7BD407" w14:textId="3045C2AE" w:rsidR="00905CB7" w:rsidRPr="005F4500" w:rsidRDefault="00CF53E9" w:rsidP="00D00D67">
      <w:pPr>
        <w:jc w:val="both"/>
        <w:rPr>
          <w:b/>
          <w:bCs/>
          <w:sz w:val="24"/>
          <w:szCs w:val="24"/>
        </w:rPr>
      </w:pPr>
      <w:r w:rsidRPr="005F4500">
        <w:rPr>
          <w:b/>
          <w:bCs/>
          <w:sz w:val="24"/>
          <w:szCs w:val="24"/>
        </w:rPr>
        <w:t>L</w:t>
      </w:r>
      <w:r w:rsidR="00602C35" w:rsidRPr="005F4500">
        <w:rPr>
          <w:b/>
          <w:bCs/>
          <w:sz w:val="24"/>
          <w:szCs w:val="24"/>
        </w:rPr>
        <w:t>es</w:t>
      </w:r>
      <w:r w:rsidRPr="005F4500">
        <w:rPr>
          <w:b/>
          <w:bCs/>
          <w:sz w:val="24"/>
          <w:szCs w:val="24"/>
        </w:rPr>
        <w:t xml:space="preserve"> présent</w:t>
      </w:r>
      <w:r w:rsidR="00602C35" w:rsidRPr="005F4500">
        <w:rPr>
          <w:b/>
          <w:bCs/>
          <w:sz w:val="24"/>
          <w:szCs w:val="24"/>
        </w:rPr>
        <w:t>s</w:t>
      </w:r>
      <w:r w:rsidRPr="005F4500">
        <w:rPr>
          <w:b/>
          <w:bCs/>
          <w:sz w:val="24"/>
          <w:szCs w:val="24"/>
        </w:rPr>
        <w:t xml:space="preserve"> </w:t>
      </w:r>
      <w:r w:rsidR="00602C35" w:rsidRPr="005F4500">
        <w:rPr>
          <w:b/>
          <w:bCs/>
          <w:sz w:val="24"/>
          <w:szCs w:val="24"/>
        </w:rPr>
        <w:t>termes de référence objets de cette mission</w:t>
      </w:r>
      <w:r w:rsidR="0062010F">
        <w:rPr>
          <w:sz w:val="24"/>
          <w:szCs w:val="24"/>
        </w:rPr>
        <w:t xml:space="preserve">, </w:t>
      </w:r>
      <w:r w:rsidR="001C360C" w:rsidRPr="005F4500">
        <w:rPr>
          <w:b/>
          <w:bCs/>
          <w:sz w:val="24"/>
          <w:szCs w:val="24"/>
        </w:rPr>
        <w:t>porte</w:t>
      </w:r>
      <w:r w:rsidR="00680387">
        <w:rPr>
          <w:b/>
          <w:bCs/>
          <w:sz w:val="24"/>
          <w:szCs w:val="24"/>
        </w:rPr>
        <w:t>nt</w:t>
      </w:r>
      <w:r w:rsidR="001C360C" w:rsidRPr="005F4500">
        <w:rPr>
          <w:b/>
          <w:bCs/>
          <w:sz w:val="24"/>
          <w:szCs w:val="24"/>
        </w:rPr>
        <w:t xml:space="preserve"> sur</w:t>
      </w:r>
      <w:r w:rsidR="00905CB7" w:rsidRPr="005F4500">
        <w:rPr>
          <w:b/>
          <w:bCs/>
          <w:sz w:val="24"/>
          <w:szCs w:val="24"/>
        </w:rPr>
        <w:t> </w:t>
      </w:r>
      <w:r w:rsidR="00526E74" w:rsidRPr="005F4500">
        <w:rPr>
          <w:b/>
          <w:bCs/>
          <w:sz w:val="24"/>
          <w:szCs w:val="24"/>
          <w:u w:val="single"/>
        </w:rPr>
        <w:t xml:space="preserve">la mise </w:t>
      </w:r>
      <w:r w:rsidR="00D612B7" w:rsidRPr="005F4500">
        <w:rPr>
          <w:b/>
          <w:bCs/>
          <w:sz w:val="24"/>
          <w:szCs w:val="24"/>
          <w:u w:val="single"/>
        </w:rPr>
        <w:t>à</w:t>
      </w:r>
      <w:r w:rsidR="00526E74" w:rsidRPr="005F4500">
        <w:rPr>
          <w:b/>
          <w:bCs/>
          <w:sz w:val="24"/>
          <w:szCs w:val="24"/>
          <w:u w:val="single"/>
        </w:rPr>
        <w:t xml:space="preserve"> jour du volet </w:t>
      </w:r>
      <w:r w:rsidR="003410EB" w:rsidRPr="005F4500">
        <w:rPr>
          <w:b/>
          <w:bCs/>
          <w:sz w:val="24"/>
          <w:szCs w:val="24"/>
          <w:u w:val="single"/>
        </w:rPr>
        <w:t>atténuation</w:t>
      </w:r>
      <w:r w:rsidR="00526E74" w:rsidRPr="005F4500">
        <w:rPr>
          <w:b/>
          <w:bCs/>
          <w:sz w:val="24"/>
          <w:szCs w:val="24"/>
          <w:u w:val="single"/>
        </w:rPr>
        <w:t xml:space="preserve"> </w:t>
      </w:r>
      <w:r w:rsidR="00526E74" w:rsidRPr="005F4500">
        <w:rPr>
          <w:b/>
          <w:bCs/>
          <w:sz w:val="24"/>
          <w:szCs w:val="24"/>
        </w:rPr>
        <w:t xml:space="preserve">et comportent </w:t>
      </w:r>
      <w:r w:rsidR="00680387">
        <w:rPr>
          <w:b/>
          <w:bCs/>
          <w:sz w:val="24"/>
          <w:szCs w:val="24"/>
        </w:rPr>
        <w:t xml:space="preserve">quatre principaux </w:t>
      </w:r>
      <w:r w:rsidR="00A67622">
        <w:rPr>
          <w:b/>
          <w:bCs/>
          <w:sz w:val="24"/>
          <w:szCs w:val="24"/>
        </w:rPr>
        <w:t xml:space="preserve">axes </w:t>
      </w:r>
      <w:r w:rsidR="00A67622" w:rsidRPr="005F4500">
        <w:rPr>
          <w:b/>
          <w:bCs/>
          <w:sz w:val="24"/>
          <w:szCs w:val="24"/>
        </w:rPr>
        <w:t>:</w:t>
      </w:r>
      <w:r w:rsidR="00905CB7" w:rsidRPr="005F4500">
        <w:rPr>
          <w:b/>
          <w:bCs/>
          <w:sz w:val="24"/>
          <w:szCs w:val="24"/>
        </w:rPr>
        <w:t xml:space="preserve"> </w:t>
      </w:r>
    </w:p>
    <w:p w14:paraId="2121246A" w14:textId="2D233862" w:rsidR="003410EB" w:rsidRDefault="003410EB" w:rsidP="00BD456A">
      <w:pPr>
        <w:pStyle w:val="Paragraphedeliste"/>
        <w:numPr>
          <w:ilvl w:val="0"/>
          <w:numId w:val="6"/>
        </w:numPr>
        <w:jc w:val="both"/>
        <w:rPr>
          <w:sz w:val="24"/>
          <w:szCs w:val="24"/>
        </w:rPr>
      </w:pPr>
      <w:r>
        <w:rPr>
          <w:sz w:val="24"/>
          <w:szCs w:val="24"/>
        </w:rPr>
        <w:t xml:space="preserve">L’élaboration de l’inventaire national </w:t>
      </w:r>
      <w:r w:rsidR="00680387">
        <w:rPr>
          <w:sz w:val="24"/>
          <w:szCs w:val="24"/>
        </w:rPr>
        <w:t xml:space="preserve">des émissions </w:t>
      </w:r>
      <w:r>
        <w:rPr>
          <w:sz w:val="24"/>
          <w:szCs w:val="24"/>
        </w:rPr>
        <w:t>GES selon la méthodologie IPCC </w:t>
      </w:r>
      <w:r w:rsidR="002A61AC">
        <w:rPr>
          <w:sz w:val="24"/>
          <w:szCs w:val="24"/>
        </w:rPr>
        <w:t>2006</w:t>
      </w:r>
      <w:r w:rsidR="00D42576">
        <w:rPr>
          <w:sz w:val="24"/>
          <w:szCs w:val="24"/>
        </w:rPr>
        <w:t xml:space="preserve"> mise </w:t>
      </w:r>
      <w:r w:rsidR="003D1247">
        <w:rPr>
          <w:sz w:val="24"/>
          <w:szCs w:val="24"/>
        </w:rPr>
        <w:t>à</w:t>
      </w:r>
      <w:r w:rsidR="00D42576">
        <w:rPr>
          <w:sz w:val="24"/>
          <w:szCs w:val="24"/>
        </w:rPr>
        <w:t xml:space="preserve"> jour en 2019</w:t>
      </w:r>
      <w:r w:rsidR="003D1247">
        <w:rPr>
          <w:sz w:val="24"/>
          <w:szCs w:val="24"/>
        </w:rPr>
        <w:t xml:space="preserve"> </w:t>
      </w:r>
      <w:r>
        <w:rPr>
          <w:sz w:val="24"/>
          <w:szCs w:val="24"/>
        </w:rPr>
        <w:t>;</w:t>
      </w:r>
    </w:p>
    <w:p w14:paraId="63F47E8D" w14:textId="26DCD00F" w:rsidR="00670536" w:rsidRPr="00364108" w:rsidRDefault="00670536" w:rsidP="00BD456A">
      <w:pPr>
        <w:pStyle w:val="Paragraphedeliste"/>
        <w:numPr>
          <w:ilvl w:val="0"/>
          <w:numId w:val="6"/>
        </w:numPr>
        <w:jc w:val="both"/>
        <w:rPr>
          <w:sz w:val="24"/>
          <w:szCs w:val="24"/>
        </w:rPr>
      </w:pPr>
      <w:r w:rsidRPr="00364108">
        <w:rPr>
          <w:sz w:val="24"/>
          <w:szCs w:val="24"/>
        </w:rPr>
        <w:t>Un scenario tendanciel de trajectoire d’émissions à 2030 et un scenario bas-carbone d’engagement de la Guinée-Bissau sont proposés et inscrits dans la CDN</w:t>
      </w:r>
    </w:p>
    <w:p w14:paraId="4B66A321" w14:textId="0DB5B240" w:rsidR="00905CB7" w:rsidRDefault="00407B52" w:rsidP="00BD456A">
      <w:pPr>
        <w:pStyle w:val="Paragraphedeliste"/>
        <w:numPr>
          <w:ilvl w:val="0"/>
          <w:numId w:val="6"/>
        </w:numPr>
        <w:jc w:val="both"/>
        <w:rPr>
          <w:sz w:val="24"/>
          <w:szCs w:val="24"/>
        </w:rPr>
      </w:pPr>
      <w:r w:rsidRPr="005F4500">
        <w:rPr>
          <w:sz w:val="24"/>
          <w:szCs w:val="24"/>
        </w:rPr>
        <w:t xml:space="preserve">La mise à jour de la CDN dans le volet </w:t>
      </w:r>
      <w:r w:rsidR="00EC7A24" w:rsidRPr="005F4500">
        <w:rPr>
          <w:sz w:val="24"/>
          <w:szCs w:val="24"/>
        </w:rPr>
        <w:t>atténuation</w:t>
      </w:r>
      <w:r w:rsidR="00FA5AEF" w:rsidRPr="00632795">
        <w:rPr>
          <w:sz w:val="24"/>
          <w:szCs w:val="24"/>
        </w:rPr>
        <w:t xml:space="preserve"> </w:t>
      </w:r>
    </w:p>
    <w:p w14:paraId="6B7D383B" w14:textId="79CDAFB8" w:rsidR="00A8307B" w:rsidRDefault="00905CB7" w:rsidP="00BD456A">
      <w:pPr>
        <w:pStyle w:val="Paragraphedeliste"/>
        <w:numPr>
          <w:ilvl w:val="0"/>
          <w:numId w:val="6"/>
        </w:numPr>
        <w:jc w:val="both"/>
        <w:rPr>
          <w:sz w:val="24"/>
          <w:szCs w:val="24"/>
        </w:rPr>
      </w:pPr>
      <w:r w:rsidRPr="005F4500">
        <w:rPr>
          <w:sz w:val="24"/>
          <w:szCs w:val="24"/>
        </w:rPr>
        <w:t>L</w:t>
      </w:r>
      <w:r w:rsidR="00FA5AEF" w:rsidRPr="005F4500">
        <w:rPr>
          <w:sz w:val="24"/>
          <w:szCs w:val="24"/>
        </w:rPr>
        <w:t xml:space="preserve">a </w:t>
      </w:r>
      <w:r w:rsidR="00EB66A3" w:rsidRPr="005F4500">
        <w:rPr>
          <w:sz w:val="24"/>
          <w:szCs w:val="24"/>
        </w:rPr>
        <w:t>consolidation</w:t>
      </w:r>
      <w:r w:rsidR="00FA5AEF" w:rsidRPr="005F4500">
        <w:rPr>
          <w:sz w:val="24"/>
          <w:szCs w:val="24"/>
        </w:rPr>
        <w:t xml:space="preserve"> de la CDN </w:t>
      </w:r>
      <w:r w:rsidR="00EB66A3" w:rsidRPr="005F4500">
        <w:rPr>
          <w:sz w:val="24"/>
          <w:szCs w:val="24"/>
        </w:rPr>
        <w:t>avec ses différentes composantes</w:t>
      </w:r>
      <w:r w:rsidR="00EB66A3" w:rsidRPr="00632795">
        <w:rPr>
          <w:sz w:val="24"/>
          <w:szCs w:val="24"/>
        </w:rPr>
        <w:t xml:space="preserve"> en vue de la soumettre à la CCNUCC</w:t>
      </w:r>
      <w:r w:rsidR="00680387">
        <w:rPr>
          <w:sz w:val="24"/>
          <w:szCs w:val="24"/>
        </w:rPr>
        <w:t xml:space="preserve"> avant la COP 26</w:t>
      </w:r>
      <w:r w:rsidR="00EB66A3" w:rsidRPr="00632795">
        <w:rPr>
          <w:sz w:val="24"/>
          <w:szCs w:val="24"/>
        </w:rPr>
        <w:t xml:space="preserve">. </w:t>
      </w:r>
    </w:p>
    <w:p w14:paraId="5231D42D" w14:textId="1B03F833" w:rsidR="00680387" w:rsidRDefault="00680387" w:rsidP="00BD456A">
      <w:pPr>
        <w:pStyle w:val="Paragraphedeliste"/>
        <w:numPr>
          <w:ilvl w:val="0"/>
          <w:numId w:val="6"/>
        </w:numPr>
        <w:jc w:val="both"/>
        <w:rPr>
          <w:sz w:val="24"/>
          <w:szCs w:val="24"/>
        </w:rPr>
      </w:pPr>
      <w:r>
        <w:rPr>
          <w:sz w:val="24"/>
          <w:szCs w:val="24"/>
        </w:rPr>
        <w:t>Le renforcement des capacités</w:t>
      </w:r>
      <w:r w:rsidR="008343A0">
        <w:rPr>
          <w:sz w:val="24"/>
          <w:szCs w:val="24"/>
        </w:rPr>
        <w:t xml:space="preserve"> dans les domaines ayant trait à l’inventaire des émissions GES et à l’élaboration de la mise à jour de la CDN </w:t>
      </w:r>
    </w:p>
    <w:p w14:paraId="1EE0683A" w14:textId="4EE6C732" w:rsidR="005358E2" w:rsidRDefault="005358E2" w:rsidP="005F4500">
      <w:pPr>
        <w:pStyle w:val="Paragraphedeliste"/>
        <w:jc w:val="both"/>
        <w:rPr>
          <w:sz w:val="24"/>
          <w:szCs w:val="24"/>
        </w:rPr>
      </w:pPr>
    </w:p>
    <w:p w14:paraId="0674BA62" w14:textId="77777777" w:rsidR="001268D3" w:rsidRPr="00632795" w:rsidRDefault="001268D3" w:rsidP="005F4500">
      <w:pPr>
        <w:pStyle w:val="Paragraphedeliste"/>
        <w:jc w:val="both"/>
        <w:rPr>
          <w:sz w:val="24"/>
          <w:szCs w:val="24"/>
        </w:rPr>
      </w:pPr>
    </w:p>
    <w:p w14:paraId="4B415348" w14:textId="75B70DB2" w:rsidR="00145325" w:rsidRPr="009A78FC" w:rsidRDefault="00145325" w:rsidP="00BD456A">
      <w:pPr>
        <w:pStyle w:val="Paragraphedeliste"/>
        <w:numPr>
          <w:ilvl w:val="0"/>
          <w:numId w:val="17"/>
        </w:numPr>
        <w:jc w:val="both"/>
        <w:rPr>
          <w:b/>
          <w:sz w:val="24"/>
          <w:szCs w:val="24"/>
        </w:rPr>
      </w:pPr>
      <w:r w:rsidRPr="005F4500">
        <w:rPr>
          <w:b/>
          <w:sz w:val="24"/>
          <w:szCs w:val="24"/>
        </w:rPr>
        <w:t>OBJECTIF</w:t>
      </w:r>
      <w:r w:rsidRPr="009A78FC">
        <w:rPr>
          <w:b/>
          <w:sz w:val="24"/>
          <w:szCs w:val="24"/>
        </w:rPr>
        <w:t xml:space="preserve"> DE LA MISSION</w:t>
      </w:r>
      <w:r w:rsidR="00FC7110">
        <w:rPr>
          <w:b/>
          <w:sz w:val="24"/>
          <w:szCs w:val="24"/>
        </w:rPr>
        <w:t> :</w:t>
      </w:r>
    </w:p>
    <w:p w14:paraId="0EEA3D60" w14:textId="39819D68" w:rsidR="00145325" w:rsidRDefault="00145325" w:rsidP="00145325">
      <w:pPr>
        <w:jc w:val="both"/>
        <w:rPr>
          <w:sz w:val="24"/>
          <w:szCs w:val="24"/>
        </w:rPr>
      </w:pPr>
      <w:r w:rsidRPr="009A78FC">
        <w:rPr>
          <w:sz w:val="24"/>
          <w:szCs w:val="24"/>
        </w:rPr>
        <w:t>La présente mission vise</w:t>
      </w:r>
      <w:r w:rsidR="00122201">
        <w:rPr>
          <w:sz w:val="24"/>
          <w:szCs w:val="24"/>
        </w:rPr>
        <w:t xml:space="preserve"> principalement</w:t>
      </w:r>
      <w:r w:rsidRPr="009A78FC">
        <w:rPr>
          <w:sz w:val="24"/>
          <w:szCs w:val="24"/>
        </w:rPr>
        <w:t xml:space="preserve"> à mettre à jour la première CDN </w:t>
      </w:r>
      <w:r>
        <w:rPr>
          <w:sz w:val="24"/>
          <w:szCs w:val="24"/>
        </w:rPr>
        <w:t>de la Guinée Bissau</w:t>
      </w:r>
      <w:r w:rsidRPr="009A78FC">
        <w:rPr>
          <w:sz w:val="24"/>
          <w:szCs w:val="24"/>
        </w:rPr>
        <w:t xml:space="preserve"> </w:t>
      </w:r>
      <w:r>
        <w:rPr>
          <w:sz w:val="24"/>
          <w:szCs w:val="24"/>
        </w:rPr>
        <w:t xml:space="preserve">de 2015 </w:t>
      </w:r>
      <w:r w:rsidR="00BE58B1">
        <w:rPr>
          <w:sz w:val="24"/>
          <w:szCs w:val="24"/>
        </w:rPr>
        <w:t xml:space="preserve">pour le volet atténuation </w:t>
      </w:r>
      <w:r w:rsidRPr="009A78FC">
        <w:rPr>
          <w:sz w:val="24"/>
          <w:szCs w:val="24"/>
        </w:rPr>
        <w:t xml:space="preserve">en vue de </w:t>
      </w:r>
      <w:r w:rsidR="00BE58B1">
        <w:rPr>
          <w:sz w:val="24"/>
          <w:szCs w:val="24"/>
        </w:rPr>
        <w:t>redéfinir</w:t>
      </w:r>
      <w:r w:rsidRPr="009A78FC">
        <w:rPr>
          <w:sz w:val="24"/>
          <w:szCs w:val="24"/>
        </w:rPr>
        <w:t xml:space="preserve"> les objectifs d’atténuation dans l’ensemble des secteurs économiques émetteurs de </w:t>
      </w:r>
      <w:r w:rsidR="00A67622" w:rsidRPr="009A78FC">
        <w:rPr>
          <w:sz w:val="24"/>
          <w:szCs w:val="24"/>
        </w:rPr>
        <w:t>GES</w:t>
      </w:r>
      <w:r w:rsidR="00A67622">
        <w:rPr>
          <w:sz w:val="24"/>
          <w:szCs w:val="24"/>
        </w:rPr>
        <w:t xml:space="preserve"> sur</w:t>
      </w:r>
      <w:r w:rsidR="006B6AE6">
        <w:rPr>
          <w:sz w:val="24"/>
          <w:szCs w:val="24"/>
        </w:rPr>
        <w:t xml:space="preserve"> la base du rehaussement de l’ambition </w:t>
      </w:r>
      <w:r w:rsidR="00BE58B1">
        <w:rPr>
          <w:sz w:val="24"/>
          <w:szCs w:val="24"/>
        </w:rPr>
        <w:t xml:space="preserve">et </w:t>
      </w:r>
      <w:r w:rsidR="006B6AE6">
        <w:rPr>
          <w:sz w:val="24"/>
          <w:szCs w:val="24"/>
        </w:rPr>
        <w:t xml:space="preserve">le renforcement de la transparence en vue de </w:t>
      </w:r>
      <w:r w:rsidR="00BE0CB2">
        <w:rPr>
          <w:sz w:val="24"/>
          <w:szCs w:val="24"/>
        </w:rPr>
        <w:t>soumettre la</w:t>
      </w:r>
      <w:r w:rsidR="006B6AE6">
        <w:rPr>
          <w:sz w:val="24"/>
          <w:szCs w:val="24"/>
        </w:rPr>
        <w:t xml:space="preserve"> </w:t>
      </w:r>
      <w:r w:rsidR="00BE58B1">
        <w:rPr>
          <w:sz w:val="24"/>
          <w:szCs w:val="24"/>
        </w:rPr>
        <w:t>CDN</w:t>
      </w:r>
      <w:r w:rsidR="006B6AE6">
        <w:rPr>
          <w:sz w:val="24"/>
          <w:szCs w:val="24"/>
        </w:rPr>
        <w:t xml:space="preserve"> mise à jour avant la COP 26.</w:t>
      </w:r>
      <w:r w:rsidR="00BE58B1">
        <w:rPr>
          <w:sz w:val="24"/>
          <w:szCs w:val="24"/>
        </w:rPr>
        <w:t xml:space="preserve"> </w:t>
      </w:r>
      <w:r w:rsidR="00FC7110">
        <w:rPr>
          <w:sz w:val="24"/>
          <w:szCs w:val="24"/>
        </w:rPr>
        <w:t xml:space="preserve"> </w:t>
      </w:r>
    </w:p>
    <w:p w14:paraId="2D68B33B" w14:textId="1C31B4D7" w:rsidR="00871608" w:rsidRDefault="008343A0" w:rsidP="00145325">
      <w:pPr>
        <w:jc w:val="both"/>
        <w:rPr>
          <w:sz w:val="24"/>
          <w:szCs w:val="24"/>
        </w:rPr>
      </w:pPr>
      <w:r>
        <w:rPr>
          <w:sz w:val="24"/>
          <w:szCs w:val="24"/>
        </w:rPr>
        <w:t xml:space="preserve">Cette mission vise aussi les </w:t>
      </w:r>
      <w:r w:rsidR="00871608">
        <w:rPr>
          <w:sz w:val="24"/>
          <w:szCs w:val="24"/>
        </w:rPr>
        <w:t xml:space="preserve">objectifs </w:t>
      </w:r>
      <w:r>
        <w:rPr>
          <w:sz w:val="24"/>
          <w:szCs w:val="24"/>
        </w:rPr>
        <w:t xml:space="preserve">suivants : </w:t>
      </w:r>
    </w:p>
    <w:p w14:paraId="39AF8133" w14:textId="4A3EED08" w:rsidR="00BE58B1" w:rsidRPr="005F4500" w:rsidRDefault="00BE58B1" w:rsidP="00BD456A">
      <w:pPr>
        <w:pStyle w:val="Paragraphedeliste"/>
        <w:numPr>
          <w:ilvl w:val="0"/>
          <w:numId w:val="18"/>
        </w:numPr>
        <w:jc w:val="both"/>
        <w:rPr>
          <w:sz w:val="24"/>
          <w:szCs w:val="24"/>
        </w:rPr>
      </w:pPr>
      <w:r w:rsidRPr="005F4500">
        <w:rPr>
          <w:sz w:val="24"/>
          <w:szCs w:val="24"/>
        </w:rPr>
        <w:t>L</w:t>
      </w:r>
      <w:r w:rsidR="00EB45C0" w:rsidRPr="005F4500">
        <w:rPr>
          <w:sz w:val="24"/>
          <w:szCs w:val="24"/>
        </w:rPr>
        <w:t>’</w:t>
      </w:r>
      <w:r w:rsidR="00CD7EF9" w:rsidRPr="005F4500">
        <w:rPr>
          <w:sz w:val="24"/>
          <w:szCs w:val="24"/>
        </w:rPr>
        <w:t>élaboration</w:t>
      </w:r>
      <w:r w:rsidR="00EB45C0" w:rsidRPr="005F4500">
        <w:rPr>
          <w:sz w:val="24"/>
          <w:szCs w:val="24"/>
        </w:rPr>
        <w:t xml:space="preserve"> de l’inventaire national des </w:t>
      </w:r>
      <w:r w:rsidRPr="005F4500">
        <w:rPr>
          <w:sz w:val="24"/>
          <w:szCs w:val="24"/>
        </w:rPr>
        <w:t>émissions</w:t>
      </w:r>
      <w:r w:rsidR="00EB45C0" w:rsidRPr="005F4500">
        <w:rPr>
          <w:sz w:val="24"/>
          <w:szCs w:val="24"/>
        </w:rPr>
        <w:t xml:space="preserve"> </w:t>
      </w:r>
      <w:r w:rsidR="00A67622" w:rsidRPr="005F4500">
        <w:rPr>
          <w:sz w:val="24"/>
          <w:szCs w:val="24"/>
        </w:rPr>
        <w:t>GES selon</w:t>
      </w:r>
      <w:r w:rsidR="00EB45C0" w:rsidRPr="005F4500">
        <w:rPr>
          <w:sz w:val="24"/>
          <w:szCs w:val="24"/>
        </w:rPr>
        <w:t xml:space="preserve"> une approche favorisant la concertation et la </w:t>
      </w:r>
      <w:r w:rsidRPr="005F4500">
        <w:rPr>
          <w:sz w:val="24"/>
          <w:szCs w:val="24"/>
        </w:rPr>
        <w:t>durabilité</w:t>
      </w:r>
      <w:r w:rsidR="00EB45C0" w:rsidRPr="005F4500">
        <w:rPr>
          <w:sz w:val="24"/>
          <w:szCs w:val="24"/>
        </w:rPr>
        <w:t xml:space="preserve">. L’inventaire devra être </w:t>
      </w:r>
      <w:r w:rsidR="00243A1B" w:rsidRPr="005F4500">
        <w:rPr>
          <w:sz w:val="24"/>
          <w:szCs w:val="24"/>
        </w:rPr>
        <w:t>élaboré</w:t>
      </w:r>
      <w:r w:rsidR="00EB45C0" w:rsidRPr="005F4500">
        <w:rPr>
          <w:sz w:val="24"/>
          <w:szCs w:val="24"/>
        </w:rPr>
        <w:t xml:space="preserve"> en </w:t>
      </w:r>
      <w:r w:rsidR="00A67622" w:rsidRPr="005F4500">
        <w:rPr>
          <w:sz w:val="24"/>
          <w:szCs w:val="24"/>
        </w:rPr>
        <w:t>suivant la</w:t>
      </w:r>
      <w:r w:rsidR="00EB45C0" w:rsidRPr="005F4500">
        <w:rPr>
          <w:sz w:val="24"/>
          <w:szCs w:val="24"/>
        </w:rPr>
        <w:t xml:space="preserve"> </w:t>
      </w:r>
      <w:r w:rsidR="00893D45" w:rsidRPr="005F4500">
        <w:rPr>
          <w:sz w:val="24"/>
          <w:szCs w:val="24"/>
        </w:rPr>
        <w:t>métho</w:t>
      </w:r>
      <w:r w:rsidR="00893D45">
        <w:rPr>
          <w:sz w:val="24"/>
          <w:szCs w:val="24"/>
        </w:rPr>
        <w:t>d</w:t>
      </w:r>
      <w:r w:rsidR="00893D45" w:rsidRPr="005F4500">
        <w:rPr>
          <w:sz w:val="24"/>
          <w:szCs w:val="24"/>
        </w:rPr>
        <w:t>o</w:t>
      </w:r>
      <w:r w:rsidR="00893D45">
        <w:rPr>
          <w:sz w:val="24"/>
          <w:szCs w:val="24"/>
        </w:rPr>
        <w:t>lo</w:t>
      </w:r>
      <w:r w:rsidR="00893D45" w:rsidRPr="005F4500">
        <w:rPr>
          <w:sz w:val="24"/>
          <w:szCs w:val="24"/>
        </w:rPr>
        <w:t>gie</w:t>
      </w:r>
      <w:r w:rsidR="00EB45C0" w:rsidRPr="005F4500">
        <w:rPr>
          <w:sz w:val="24"/>
          <w:szCs w:val="24"/>
        </w:rPr>
        <w:t xml:space="preserve"> de l’IPCC 2006 ; </w:t>
      </w:r>
    </w:p>
    <w:p w14:paraId="229FF46A" w14:textId="1E0C90BF" w:rsidR="00BE58B1" w:rsidRPr="005F4500" w:rsidRDefault="00BE58B1" w:rsidP="00BD456A">
      <w:pPr>
        <w:pStyle w:val="Paragraphedeliste"/>
        <w:numPr>
          <w:ilvl w:val="0"/>
          <w:numId w:val="18"/>
        </w:numPr>
        <w:jc w:val="both"/>
        <w:rPr>
          <w:sz w:val="24"/>
          <w:szCs w:val="24"/>
        </w:rPr>
      </w:pPr>
      <w:r w:rsidRPr="005F4500">
        <w:rPr>
          <w:sz w:val="24"/>
          <w:szCs w:val="24"/>
        </w:rPr>
        <w:t>Le renforcement des capacités nationales tant pour le processus de l’inventaire national GES que pour la mise en œuvre de l’Accord de Paris y compris la CDN</w:t>
      </w:r>
      <w:r w:rsidR="00FC20B7">
        <w:rPr>
          <w:sz w:val="24"/>
          <w:szCs w:val="24"/>
        </w:rPr>
        <w:t xml:space="preserve"> mise </w:t>
      </w:r>
      <w:r w:rsidR="000275FB">
        <w:rPr>
          <w:sz w:val="24"/>
          <w:szCs w:val="24"/>
        </w:rPr>
        <w:t>à</w:t>
      </w:r>
      <w:r w:rsidR="00FC20B7">
        <w:rPr>
          <w:sz w:val="24"/>
          <w:szCs w:val="24"/>
        </w:rPr>
        <w:t xml:space="preserve"> jour</w:t>
      </w:r>
    </w:p>
    <w:p w14:paraId="3D118B3B" w14:textId="7CAB05F0" w:rsidR="00670536" w:rsidRDefault="00BE58B1" w:rsidP="00BD456A">
      <w:pPr>
        <w:pStyle w:val="Paragraphedeliste"/>
        <w:numPr>
          <w:ilvl w:val="0"/>
          <w:numId w:val="18"/>
        </w:numPr>
        <w:jc w:val="both"/>
        <w:rPr>
          <w:sz w:val="24"/>
          <w:szCs w:val="24"/>
        </w:rPr>
      </w:pPr>
      <w:r w:rsidRPr="005F4500">
        <w:rPr>
          <w:sz w:val="24"/>
          <w:szCs w:val="24"/>
        </w:rPr>
        <w:t xml:space="preserve">La mise en place d’une feuille de route </w:t>
      </w:r>
      <w:r w:rsidR="001A72C9">
        <w:rPr>
          <w:sz w:val="24"/>
          <w:szCs w:val="24"/>
        </w:rPr>
        <w:t xml:space="preserve">pour la mise en œuvre de </w:t>
      </w:r>
      <w:r w:rsidR="00A67622">
        <w:rPr>
          <w:sz w:val="24"/>
          <w:szCs w:val="24"/>
        </w:rPr>
        <w:t>la CDN</w:t>
      </w:r>
      <w:r w:rsidR="008637D4">
        <w:rPr>
          <w:sz w:val="24"/>
          <w:szCs w:val="24"/>
        </w:rPr>
        <w:t xml:space="preserve"> </w:t>
      </w:r>
      <w:r w:rsidR="008343A0">
        <w:rPr>
          <w:sz w:val="24"/>
          <w:szCs w:val="24"/>
        </w:rPr>
        <w:t>révisée</w:t>
      </w:r>
      <w:r w:rsidR="00860734">
        <w:rPr>
          <w:sz w:val="24"/>
          <w:szCs w:val="24"/>
        </w:rPr>
        <w:t xml:space="preserve"> pour le volet atténuation</w:t>
      </w:r>
      <w:r w:rsidR="008343A0">
        <w:rPr>
          <w:sz w:val="24"/>
          <w:szCs w:val="24"/>
        </w:rPr>
        <w:t xml:space="preserve"> </w:t>
      </w:r>
      <w:r w:rsidR="008637D4">
        <w:rPr>
          <w:sz w:val="24"/>
          <w:szCs w:val="24"/>
        </w:rPr>
        <w:t>qui inclut les besoins de renforcement des capacités</w:t>
      </w:r>
      <w:r w:rsidR="0005601D">
        <w:rPr>
          <w:sz w:val="24"/>
          <w:szCs w:val="24"/>
        </w:rPr>
        <w:t xml:space="preserve"> entre autres</w:t>
      </w:r>
      <w:r w:rsidR="008637D4">
        <w:rPr>
          <w:sz w:val="24"/>
          <w:szCs w:val="24"/>
        </w:rPr>
        <w:t xml:space="preserve"> pour les volets de gouvernance</w:t>
      </w:r>
      <w:r w:rsidR="008343A0">
        <w:rPr>
          <w:sz w:val="24"/>
          <w:szCs w:val="24"/>
        </w:rPr>
        <w:t>, transparence</w:t>
      </w:r>
      <w:r w:rsidR="009C4E2C">
        <w:rPr>
          <w:sz w:val="24"/>
          <w:szCs w:val="24"/>
        </w:rPr>
        <w:t xml:space="preserve"> et</w:t>
      </w:r>
      <w:r w:rsidR="008637D4">
        <w:rPr>
          <w:sz w:val="24"/>
          <w:szCs w:val="24"/>
        </w:rPr>
        <w:t xml:space="preserve"> </w:t>
      </w:r>
      <w:r w:rsidR="006C62F6">
        <w:rPr>
          <w:sz w:val="24"/>
          <w:szCs w:val="24"/>
        </w:rPr>
        <w:t xml:space="preserve">financement </w:t>
      </w:r>
      <w:r w:rsidR="009C4E2C">
        <w:rPr>
          <w:sz w:val="24"/>
          <w:szCs w:val="24"/>
        </w:rPr>
        <w:t>de la CDN</w:t>
      </w:r>
      <w:r w:rsidR="00670536">
        <w:rPr>
          <w:sz w:val="24"/>
          <w:szCs w:val="24"/>
        </w:rPr>
        <w:t> ;</w:t>
      </w:r>
    </w:p>
    <w:p w14:paraId="07196F1B" w14:textId="58A27B25" w:rsidR="004A0738" w:rsidRPr="00364108" w:rsidRDefault="004A0738" w:rsidP="00364108">
      <w:pPr>
        <w:pStyle w:val="Paragraphedeliste"/>
        <w:jc w:val="both"/>
        <w:rPr>
          <w:color w:val="FF0000"/>
          <w:sz w:val="24"/>
          <w:szCs w:val="24"/>
        </w:rPr>
      </w:pPr>
    </w:p>
    <w:p w14:paraId="39444F7E" w14:textId="01504FDA" w:rsidR="001A2DE8" w:rsidRDefault="00871608" w:rsidP="00BD456A">
      <w:pPr>
        <w:pStyle w:val="Paragraphedeliste"/>
        <w:numPr>
          <w:ilvl w:val="0"/>
          <w:numId w:val="17"/>
        </w:numPr>
        <w:jc w:val="both"/>
        <w:rPr>
          <w:b/>
          <w:sz w:val="24"/>
          <w:szCs w:val="24"/>
        </w:rPr>
      </w:pPr>
      <w:r>
        <w:rPr>
          <w:sz w:val="24"/>
          <w:szCs w:val="24"/>
        </w:rPr>
        <w:t xml:space="preserve"> </w:t>
      </w:r>
      <w:r w:rsidR="008D6E68" w:rsidRPr="009A78FC">
        <w:rPr>
          <w:b/>
          <w:sz w:val="24"/>
          <w:szCs w:val="24"/>
        </w:rPr>
        <w:t>DEMARCHE METHODOLOGIQUE</w:t>
      </w:r>
    </w:p>
    <w:p w14:paraId="73242350" w14:textId="77777777" w:rsidR="003608E4" w:rsidRPr="009A78FC" w:rsidRDefault="003608E4" w:rsidP="003608E4">
      <w:pPr>
        <w:pStyle w:val="Paragraphedeliste"/>
        <w:jc w:val="both"/>
        <w:rPr>
          <w:b/>
          <w:sz w:val="24"/>
          <w:szCs w:val="24"/>
        </w:rPr>
      </w:pPr>
    </w:p>
    <w:p w14:paraId="5C600A13" w14:textId="712A1674" w:rsidR="00321103" w:rsidRPr="005F4500" w:rsidRDefault="00321103" w:rsidP="00BD456A">
      <w:pPr>
        <w:pStyle w:val="Paragraphedeliste"/>
        <w:numPr>
          <w:ilvl w:val="1"/>
          <w:numId w:val="17"/>
        </w:numPr>
        <w:jc w:val="both"/>
        <w:rPr>
          <w:b/>
          <w:bCs/>
          <w:sz w:val="24"/>
          <w:szCs w:val="24"/>
        </w:rPr>
      </w:pPr>
      <w:r w:rsidRPr="005F4500">
        <w:rPr>
          <w:b/>
          <w:bCs/>
          <w:sz w:val="24"/>
          <w:szCs w:val="24"/>
        </w:rPr>
        <w:t xml:space="preserve">Elaboration de l’inventaire national des </w:t>
      </w:r>
      <w:r w:rsidR="0023387D" w:rsidRPr="005F4500">
        <w:rPr>
          <w:b/>
          <w:bCs/>
          <w:sz w:val="24"/>
          <w:szCs w:val="24"/>
        </w:rPr>
        <w:t>émissions</w:t>
      </w:r>
      <w:r w:rsidRPr="005F4500">
        <w:rPr>
          <w:b/>
          <w:bCs/>
          <w:sz w:val="24"/>
          <w:szCs w:val="24"/>
        </w:rPr>
        <w:t xml:space="preserve"> GES :</w:t>
      </w:r>
    </w:p>
    <w:p w14:paraId="40C29D62" w14:textId="4CC77230" w:rsidR="007B7DEE" w:rsidRPr="007B7DEE" w:rsidRDefault="007B7DEE" w:rsidP="007B7DEE">
      <w:pPr>
        <w:jc w:val="both"/>
        <w:rPr>
          <w:sz w:val="24"/>
          <w:szCs w:val="24"/>
        </w:rPr>
      </w:pPr>
      <w:r w:rsidRPr="007B7DEE">
        <w:rPr>
          <w:sz w:val="24"/>
          <w:szCs w:val="24"/>
        </w:rPr>
        <w:t xml:space="preserve">En vue de pouvoir mettre à jour la NDC pour le volet d’atténuation, la Guinée Bissau a besoin d’élaborer son inventaire national de GES avec une démarche participative qui permettra de définir l’année de référence et mettre en place le premier système national d’inventaire des émissions GES qui impliquera toutes les parties prenantes en vue de garantir la durabilité de la mise </w:t>
      </w:r>
      <w:r w:rsidR="00A67622">
        <w:rPr>
          <w:sz w:val="24"/>
          <w:szCs w:val="24"/>
        </w:rPr>
        <w:t xml:space="preserve">à </w:t>
      </w:r>
      <w:r w:rsidR="00A67622" w:rsidRPr="007B7DEE">
        <w:rPr>
          <w:sz w:val="24"/>
          <w:szCs w:val="24"/>
        </w:rPr>
        <w:t>jour</w:t>
      </w:r>
      <w:r w:rsidRPr="007B7DEE">
        <w:rPr>
          <w:sz w:val="24"/>
          <w:szCs w:val="24"/>
        </w:rPr>
        <w:t xml:space="preserve"> dudit inventaire. En effet, la Guinée Bissa a développé un inventaire national a l’occasion de l’élaboration de la troisième communication soumise </w:t>
      </w:r>
      <w:r w:rsidR="00B34895">
        <w:rPr>
          <w:sz w:val="24"/>
          <w:szCs w:val="24"/>
        </w:rPr>
        <w:t xml:space="preserve">à </w:t>
      </w:r>
      <w:r w:rsidR="00B34895" w:rsidRPr="007B7DEE">
        <w:rPr>
          <w:sz w:val="24"/>
          <w:szCs w:val="24"/>
        </w:rPr>
        <w:t>la</w:t>
      </w:r>
      <w:r w:rsidRPr="007B7DEE">
        <w:rPr>
          <w:sz w:val="24"/>
          <w:szCs w:val="24"/>
        </w:rPr>
        <w:t xml:space="preserve"> CCNUCC en 2018. Ce même inventaire a été mis à jour pour des raisons de méthodologie </w:t>
      </w:r>
      <w:r w:rsidR="00A67622">
        <w:rPr>
          <w:sz w:val="24"/>
          <w:szCs w:val="24"/>
        </w:rPr>
        <w:t xml:space="preserve">à </w:t>
      </w:r>
      <w:r w:rsidR="00A67622" w:rsidRPr="007B7DEE">
        <w:rPr>
          <w:sz w:val="24"/>
          <w:szCs w:val="24"/>
        </w:rPr>
        <w:t>l’occasion</w:t>
      </w:r>
      <w:r w:rsidRPr="007B7DEE">
        <w:rPr>
          <w:sz w:val="24"/>
          <w:szCs w:val="24"/>
        </w:rPr>
        <w:t xml:space="preserve"> de l’élaboration du premier BUR soumis en 2019. Le dernier inventaire ne semble pas faire un consensus par les partenaires en relation avec sa consistance et la méthodologie adoptée. </w:t>
      </w:r>
    </w:p>
    <w:p w14:paraId="645EFAF5" w14:textId="2EEDCCEE" w:rsidR="00517F89" w:rsidRDefault="00716971" w:rsidP="009A78FC">
      <w:pPr>
        <w:jc w:val="both"/>
        <w:rPr>
          <w:sz w:val="24"/>
          <w:szCs w:val="24"/>
        </w:rPr>
      </w:pPr>
      <w:r>
        <w:rPr>
          <w:sz w:val="24"/>
          <w:szCs w:val="24"/>
        </w:rPr>
        <w:t>En effet,</w:t>
      </w:r>
      <w:r w:rsidR="007B27D2">
        <w:rPr>
          <w:sz w:val="24"/>
          <w:szCs w:val="24"/>
        </w:rPr>
        <w:t xml:space="preserve"> selon le rapport du bilan des réalisation</w:t>
      </w:r>
      <w:r w:rsidR="004D6344">
        <w:rPr>
          <w:sz w:val="24"/>
          <w:szCs w:val="24"/>
        </w:rPr>
        <w:t>s</w:t>
      </w:r>
      <w:r w:rsidR="007B27D2">
        <w:rPr>
          <w:sz w:val="24"/>
          <w:szCs w:val="24"/>
        </w:rPr>
        <w:t xml:space="preserve"> de la première CDN de la Guinée Bissau, </w:t>
      </w:r>
      <w:r w:rsidR="00DA1005">
        <w:rPr>
          <w:sz w:val="24"/>
          <w:szCs w:val="24"/>
        </w:rPr>
        <w:t xml:space="preserve">le dernier inventaire </w:t>
      </w:r>
      <w:r w:rsidR="00A67622">
        <w:rPr>
          <w:sz w:val="24"/>
          <w:szCs w:val="24"/>
        </w:rPr>
        <w:t>en date</w:t>
      </w:r>
      <w:r w:rsidR="00DA1005">
        <w:rPr>
          <w:sz w:val="24"/>
          <w:szCs w:val="24"/>
        </w:rPr>
        <w:t xml:space="preserve"> </w:t>
      </w:r>
      <w:r w:rsidR="00222D7A">
        <w:rPr>
          <w:sz w:val="24"/>
          <w:szCs w:val="24"/>
        </w:rPr>
        <w:t>publié</w:t>
      </w:r>
      <w:r w:rsidR="00DA1005">
        <w:rPr>
          <w:sz w:val="24"/>
          <w:szCs w:val="24"/>
        </w:rPr>
        <w:t xml:space="preserve"> dans le premier BUR de 2019 inclut plusieurs lacune</w:t>
      </w:r>
      <w:r w:rsidR="0001053E">
        <w:rPr>
          <w:sz w:val="24"/>
          <w:szCs w:val="24"/>
        </w:rPr>
        <w:t xml:space="preserve">s </w:t>
      </w:r>
      <w:r w:rsidR="00BC2E9D">
        <w:rPr>
          <w:sz w:val="24"/>
          <w:szCs w:val="24"/>
        </w:rPr>
        <w:t xml:space="preserve">et </w:t>
      </w:r>
      <w:r w:rsidR="00BC2E9D" w:rsidRPr="005F4500">
        <w:rPr>
          <w:sz w:val="24"/>
          <w:szCs w:val="24"/>
        </w:rPr>
        <w:t xml:space="preserve">ne peut pas constituer un document de référence pour </w:t>
      </w:r>
      <w:r w:rsidR="00822CD4">
        <w:rPr>
          <w:sz w:val="24"/>
          <w:szCs w:val="24"/>
        </w:rPr>
        <w:t xml:space="preserve">la mise à jour de la </w:t>
      </w:r>
      <w:r w:rsidR="00B34895">
        <w:rPr>
          <w:sz w:val="24"/>
          <w:szCs w:val="24"/>
        </w:rPr>
        <w:t>première CDN</w:t>
      </w:r>
      <w:r w:rsidR="00C45F5D">
        <w:rPr>
          <w:rStyle w:val="Appelnotedebasdep"/>
          <w:sz w:val="24"/>
          <w:szCs w:val="24"/>
        </w:rPr>
        <w:footnoteReference w:id="1"/>
      </w:r>
      <w:r w:rsidR="00374799">
        <w:rPr>
          <w:sz w:val="24"/>
          <w:szCs w:val="24"/>
        </w:rPr>
        <w:t xml:space="preserve">. </w:t>
      </w:r>
      <w:r w:rsidR="00BC2E9D" w:rsidRPr="005F4500">
        <w:rPr>
          <w:sz w:val="24"/>
          <w:szCs w:val="24"/>
        </w:rPr>
        <w:t xml:space="preserve"> </w:t>
      </w:r>
      <w:r w:rsidR="006F37A9">
        <w:rPr>
          <w:sz w:val="24"/>
          <w:szCs w:val="24"/>
        </w:rPr>
        <w:t>Cependant,</w:t>
      </w:r>
      <w:r w:rsidR="00476347">
        <w:rPr>
          <w:sz w:val="24"/>
          <w:szCs w:val="24"/>
        </w:rPr>
        <w:t xml:space="preserve"> des </w:t>
      </w:r>
      <w:r w:rsidR="003430EA">
        <w:rPr>
          <w:sz w:val="24"/>
          <w:szCs w:val="24"/>
        </w:rPr>
        <w:t>études</w:t>
      </w:r>
      <w:r w:rsidR="00476347">
        <w:rPr>
          <w:sz w:val="24"/>
          <w:szCs w:val="24"/>
        </w:rPr>
        <w:t xml:space="preserve"> et initiatives ont été entrepris</w:t>
      </w:r>
      <w:r w:rsidR="00AD0B7F">
        <w:rPr>
          <w:sz w:val="24"/>
          <w:szCs w:val="24"/>
        </w:rPr>
        <w:t>es</w:t>
      </w:r>
      <w:r w:rsidR="00476347">
        <w:rPr>
          <w:sz w:val="24"/>
          <w:szCs w:val="24"/>
        </w:rPr>
        <w:t xml:space="preserve"> pour certains secteurs et seront </w:t>
      </w:r>
      <w:r w:rsidR="00AD0B7F">
        <w:rPr>
          <w:sz w:val="24"/>
          <w:szCs w:val="24"/>
        </w:rPr>
        <w:t>considérées</w:t>
      </w:r>
      <w:r w:rsidR="00476347">
        <w:rPr>
          <w:sz w:val="24"/>
          <w:szCs w:val="24"/>
        </w:rPr>
        <w:t xml:space="preserve"> pour l’</w:t>
      </w:r>
      <w:r w:rsidR="003430EA">
        <w:rPr>
          <w:sz w:val="24"/>
          <w:szCs w:val="24"/>
        </w:rPr>
        <w:t>élaboration</w:t>
      </w:r>
      <w:r w:rsidR="00476347">
        <w:rPr>
          <w:sz w:val="24"/>
          <w:szCs w:val="24"/>
        </w:rPr>
        <w:t xml:space="preserve"> de l’inventaire. L</w:t>
      </w:r>
      <w:r w:rsidR="006F37A9">
        <w:rPr>
          <w:sz w:val="24"/>
          <w:szCs w:val="24"/>
        </w:rPr>
        <w:t>e même rapport</w:t>
      </w:r>
      <w:r w:rsidR="003430EA">
        <w:rPr>
          <w:sz w:val="24"/>
          <w:szCs w:val="24"/>
        </w:rPr>
        <w:t xml:space="preserve"> </w:t>
      </w:r>
      <w:r w:rsidR="00AF4B95">
        <w:rPr>
          <w:sz w:val="24"/>
          <w:szCs w:val="24"/>
        </w:rPr>
        <w:t>suscité</w:t>
      </w:r>
      <w:r w:rsidR="006F37A9">
        <w:rPr>
          <w:sz w:val="24"/>
          <w:szCs w:val="24"/>
        </w:rPr>
        <w:t xml:space="preserve">, indique </w:t>
      </w:r>
      <w:r w:rsidR="00AD07D9">
        <w:rPr>
          <w:sz w:val="24"/>
          <w:szCs w:val="24"/>
        </w:rPr>
        <w:t>que d</w:t>
      </w:r>
      <w:r w:rsidR="0001053E" w:rsidRPr="0099469D">
        <w:rPr>
          <w:sz w:val="24"/>
          <w:szCs w:val="24"/>
        </w:rPr>
        <w:t xml:space="preserve">e nouvelles données sont disponibles, notamment le Forest </w:t>
      </w:r>
      <w:r w:rsidR="00DA2E43" w:rsidRPr="0099469D">
        <w:rPr>
          <w:sz w:val="24"/>
          <w:szCs w:val="24"/>
        </w:rPr>
        <w:t>référence</w:t>
      </w:r>
      <w:r w:rsidR="0001053E" w:rsidRPr="0099469D">
        <w:rPr>
          <w:sz w:val="24"/>
          <w:szCs w:val="24"/>
        </w:rPr>
        <w:t xml:space="preserve"> </w:t>
      </w:r>
      <w:r w:rsidR="00DA2E43" w:rsidRPr="0099469D">
        <w:rPr>
          <w:sz w:val="24"/>
          <w:szCs w:val="24"/>
        </w:rPr>
        <w:t>émission</w:t>
      </w:r>
      <w:r w:rsidR="0001053E" w:rsidRPr="0099469D">
        <w:rPr>
          <w:sz w:val="24"/>
          <w:szCs w:val="24"/>
        </w:rPr>
        <w:t xml:space="preserve"> </w:t>
      </w:r>
      <w:r w:rsidR="00DA2E43" w:rsidRPr="0099469D">
        <w:rPr>
          <w:sz w:val="24"/>
          <w:szCs w:val="24"/>
        </w:rPr>
        <w:t>lève</w:t>
      </w:r>
      <w:r w:rsidR="0001053E" w:rsidRPr="0099469D">
        <w:rPr>
          <w:sz w:val="24"/>
          <w:szCs w:val="24"/>
        </w:rPr>
        <w:t xml:space="preserve"> (FREL) élaboré dans le cadre des mécanismes REDD+ pour les aires protégées (aujourd’hui 26% du territoire) et validé par la CCNUCC en 2020. Afin d’établir une situation de référence actualisée, les priorités sont donc d’établir un programme de collecte de données régulier et pérenne, d’étendre le FREL à l’ensemble du territoire et de procéder à l’harmonisation des méthodologies d’IGES et du FREL</w:t>
      </w:r>
      <w:r w:rsidR="00AD0B7F">
        <w:rPr>
          <w:sz w:val="24"/>
          <w:szCs w:val="24"/>
        </w:rPr>
        <w:t>, chose qui devrait être prise en considération durant l’</w:t>
      </w:r>
      <w:r w:rsidR="00036995">
        <w:rPr>
          <w:sz w:val="24"/>
          <w:szCs w:val="24"/>
        </w:rPr>
        <w:t>élaboration</w:t>
      </w:r>
      <w:r w:rsidR="00AD0B7F">
        <w:rPr>
          <w:sz w:val="24"/>
          <w:szCs w:val="24"/>
        </w:rPr>
        <w:t xml:space="preserve"> du nouvel inventaire GES</w:t>
      </w:r>
      <w:r w:rsidR="0001053E" w:rsidRPr="0099469D">
        <w:rPr>
          <w:sz w:val="24"/>
          <w:szCs w:val="24"/>
        </w:rPr>
        <w:t xml:space="preserve">. Par ailleurs, de nouvelles données dans les secteurs Agriculture et Energie devraient être disponibles </w:t>
      </w:r>
      <w:r w:rsidR="0078374F">
        <w:rPr>
          <w:sz w:val="24"/>
          <w:szCs w:val="24"/>
        </w:rPr>
        <w:t>en</w:t>
      </w:r>
      <w:r w:rsidR="0001053E" w:rsidRPr="0099469D">
        <w:rPr>
          <w:sz w:val="24"/>
          <w:szCs w:val="24"/>
        </w:rPr>
        <w:t xml:space="preserve"> 2021. </w:t>
      </w:r>
    </w:p>
    <w:p w14:paraId="389670EC" w14:textId="18AB8012" w:rsidR="00096209" w:rsidRDefault="00517F89" w:rsidP="009A78FC">
      <w:pPr>
        <w:jc w:val="both"/>
        <w:rPr>
          <w:sz w:val="24"/>
          <w:szCs w:val="24"/>
        </w:rPr>
      </w:pPr>
      <w:r>
        <w:rPr>
          <w:sz w:val="24"/>
          <w:szCs w:val="24"/>
        </w:rPr>
        <w:t xml:space="preserve">A cet effet, </w:t>
      </w:r>
      <w:r w:rsidR="002417E4">
        <w:rPr>
          <w:sz w:val="24"/>
          <w:szCs w:val="24"/>
        </w:rPr>
        <w:t xml:space="preserve">pour mettre </w:t>
      </w:r>
      <w:r w:rsidR="00A67622">
        <w:rPr>
          <w:sz w:val="24"/>
          <w:szCs w:val="24"/>
        </w:rPr>
        <w:t>à jour</w:t>
      </w:r>
      <w:r w:rsidR="002417E4">
        <w:rPr>
          <w:sz w:val="24"/>
          <w:szCs w:val="24"/>
        </w:rPr>
        <w:t xml:space="preserve"> la </w:t>
      </w:r>
      <w:r w:rsidR="00103029">
        <w:rPr>
          <w:sz w:val="24"/>
          <w:szCs w:val="24"/>
        </w:rPr>
        <w:t>CDN dans</w:t>
      </w:r>
      <w:r w:rsidR="002417E4">
        <w:rPr>
          <w:sz w:val="24"/>
          <w:szCs w:val="24"/>
        </w:rPr>
        <w:t xml:space="preserve"> l’atténuation</w:t>
      </w:r>
      <w:r w:rsidR="00096209">
        <w:rPr>
          <w:sz w:val="24"/>
          <w:szCs w:val="24"/>
        </w:rPr>
        <w:t xml:space="preserve">, le prestataire de service sera appelé </w:t>
      </w:r>
      <w:r w:rsidR="00650EB4">
        <w:rPr>
          <w:sz w:val="24"/>
          <w:szCs w:val="24"/>
        </w:rPr>
        <w:t>à</w:t>
      </w:r>
      <w:r w:rsidR="00096209">
        <w:rPr>
          <w:sz w:val="24"/>
          <w:szCs w:val="24"/>
        </w:rPr>
        <w:t xml:space="preserve"> commencer par élaborer l’inventaire national des émissions GES en étroite collaboration avec le groupe de travail inventaire mis en place par le Ministère de l’environnement et de la Biodiversité </w:t>
      </w:r>
      <w:r w:rsidR="00650EB4">
        <w:rPr>
          <w:sz w:val="24"/>
          <w:szCs w:val="24"/>
        </w:rPr>
        <w:t xml:space="preserve">en </w:t>
      </w:r>
      <w:r w:rsidR="005F059C">
        <w:rPr>
          <w:sz w:val="24"/>
          <w:szCs w:val="24"/>
        </w:rPr>
        <w:t>considérant</w:t>
      </w:r>
      <w:r w:rsidR="00650EB4">
        <w:rPr>
          <w:sz w:val="24"/>
          <w:szCs w:val="24"/>
        </w:rPr>
        <w:t xml:space="preserve"> les recommandations suivantes :</w:t>
      </w:r>
    </w:p>
    <w:p w14:paraId="11045AB1" w14:textId="4D941427" w:rsidR="00650EB4" w:rsidRDefault="00831CD4" w:rsidP="00BD456A">
      <w:pPr>
        <w:pStyle w:val="Paragraphedeliste"/>
        <w:numPr>
          <w:ilvl w:val="0"/>
          <w:numId w:val="16"/>
        </w:numPr>
        <w:jc w:val="both"/>
        <w:rPr>
          <w:sz w:val="24"/>
          <w:szCs w:val="24"/>
        </w:rPr>
      </w:pPr>
      <w:r>
        <w:rPr>
          <w:sz w:val="24"/>
          <w:szCs w:val="24"/>
        </w:rPr>
        <w:t xml:space="preserve">Collecter toutes les </w:t>
      </w:r>
      <w:r w:rsidR="00EA1C2A">
        <w:rPr>
          <w:sz w:val="24"/>
          <w:szCs w:val="24"/>
        </w:rPr>
        <w:t>données</w:t>
      </w:r>
      <w:r>
        <w:rPr>
          <w:sz w:val="24"/>
          <w:szCs w:val="24"/>
        </w:rPr>
        <w:t xml:space="preserve"> pertinentes </w:t>
      </w:r>
      <w:r w:rsidR="00F731CA">
        <w:rPr>
          <w:sz w:val="24"/>
          <w:szCs w:val="24"/>
        </w:rPr>
        <w:t xml:space="preserve">pour tous </w:t>
      </w:r>
      <w:r w:rsidR="00F51290">
        <w:rPr>
          <w:sz w:val="24"/>
          <w:szCs w:val="24"/>
        </w:rPr>
        <w:t xml:space="preserve">les secteurs </w:t>
      </w:r>
      <w:r w:rsidR="00103029">
        <w:rPr>
          <w:sz w:val="24"/>
          <w:szCs w:val="24"/>
        </w:rPr>
        <w:t>de l’</w:t>
      </w:r>
      <w:r w:rsidR="00527ADE">
        <w:rPr>
          <w:sz w:val="24"/>
          <w:szCs w:val="24"/>
        </w:rPr>
        <w:t>atténuation</w:t>
      </w:r>
      <w:r w:rsidR="00386917">
        <w:rPr>
          <w:sz w:val="24"/>
          <w:szCs w:val="24"/>
        </w:rPr>
        <w:t xml:space="preserve"> </w:t>
      </w:r>
      <w:r w:rsidR="00E24E25">
        <w:rPr>
          <w:sz w:val="24"/>
          <w:szCs w:val="24"/>
        </w:rPr>
        <w:t xml:space="preserve">(énergie, déchet, procédé industriel et AFAT) </w:t>
      </w:r>
      <w:r>
        <w:rPr>
          <w:sz w:val="24"/>
          <w:szCs w:val="24"/>
        </w:rPr>
        <w:t>et faire l</w:t>
      </w:r>
      <w:r w:rsidR="00563791">
        <w:rPr>
          <w:sz w:val="24"/>
          <w:szCs w:val="24"/>
        </w:rPr>
        <w:t xml:space="preserve">a revue documentaire </w:t>
      </w:r>
      <w:r w:rsidR="007C3A68">
        <w:rPr>
          <w:sz w:val="24"/>
          <w:szCs w:val="24"/>
        </w:rPr>
        <w:t xml:space="preserve">en lien avec </w:t>
      </w:r>
      <w:r w:rsidR="00801A22">
        <w:rPr>
          <w:sz w:val="24"/>
          <w:szCs w:val="24"/>
        </w:rPr>
        <w:t xml:space="preserve">les anciens </w:t>
      </w:r>
      <w:r w:rsidR="00EA1C2A">
        <w:rPr>
          <w:sz w:val="24"/>
          <w:szCs w:val="24"/>
        </w:rPr>
        <w:t>inventaires</w:t>
      </w:r>
      <w:r w:rsidR="00801A22">
        <w:rPr>
          <w:sz w:val="24"/>
          <w:szCs w:val="24"/>
        </w:rPr>
        <w:t xml:space="preserve"> effectu</w:t>
      </w:r>
      <w:r w:rsidR="00822CD4">
        <w:rPr>
          <w:sz w:val="24"/>
          <w:szCs w:val="24"/>
        </w:rPr>
        <w:t>é</w:t>
      </w:r>
      <w:r w:rsidR="00801A22">
        <w:rPr>
          <w:sz w:val="24"/>
          <w:szCs w:val="24"/>
        </w:rPr>
        <w:t>s</w:t>
      </w:r>
      <w:r w:rsidR="00A01391">
        <w:rPr>
          <w:sz w:val="24"/>
          <w:szCs w:val="24"/>
        </w:rPr>
        <w:t xml:space="preserve"> mais également les différentes </w:t>
      </w:r>
      <w:r w:rsidR="00FA6EC7">
        <w:rPr>
          <w:sz w:val="24"/>
          <w:szCs w:val="24"/>
        </w:rPr>
        <w:t>études</w:t>
      </w:r>
      <w:r w:rsidR="00A01391">
        <w:rPr>
          <w:sz w:val="24"/>
          <w:szCs w:val="24"/>
        </w:rPr>
        <w:t xml:space="preserve"> stratégiques en cours (</w:t>
      </w:r>
      <w:proofErr w:type="spellStart"/>
      <w:r w:rsidR="00A01391">
        <w:rPr>
          <w:sz w:val="24"/>
          <w:szCs w:val="24"/>
        </w:rPr>
        <w:t>e.g</w:t>
      </w:r>
      <w:proofErr w:type="spellEnd"/>
      <w:r w:rsidR="00A01391">
        <w:rPr>
          <w:sz w:val="24"/>
          <w:szCs w:val="24"/>
        </w:rPr>
        <w:t xml:space="preserve"> mise </w:t>
      </w:r>
      <w:r w:rsidR="001F45A8">
        <w:rPr>
          <w:sz w:val="24"/>
          <w:szCs w:val="24"/>
        </w:rPr>
        <w:t>à</w:t>
      </w:r>
      <w:r w:rsidR="00A01391">
        <w:rPr>
          <w:sz w:val="24"/>
          <w:szCs w:val="24"/>
        </w:rPr>
        <w:t xml:space="preserve"> jour de l’inventaire forestier</w:t>
      </w:r>
      <w:r w:rsidR="006000EE">
        <w:rPr>
          <w:sz w:val="24"/>
          <w:szCs w:val="24"/>
        </w:rPr>
        <w:t xml:space="preserve">, </w:t>
      </w:r>
      <w:r w:rsidR="00FA6EC7">
        <w:rPr>
          <w:sz w:val="24"/>
          <w:szCs w:val="24"/>
        </w:rPr>
        <w:t>stratégie</w:t>
      </w:r>
      <w:r w:rsidR="006000EE">
        <w:rPr>
          <w:sz w:val="24"/>
          <w:szCs w:val="24"/>
        </w:rPr>
        <w:t xml:space="preserve"> nationale agricole</w:t>
      </w:r>
      <w:r w:rsidR="00A01391">
        <w:rPr>
          <w:sz w:val="24"/>
          <w:szCs w:val="24"/>
        </w:rPr>
        <w:t>)</w:t>
      </w:r>
      <w:r w:rsidR="00BC7839">
        <w:rPr>
          <w:sz w:val="24"/>
          <w:szCs w:val="24"/>
        </w:rPr>
        <w:t xml:space="preserve"> ; </w:t>
      </w:r>
    </w:p>
    <w:p w14:paraId="27517EE0" w14:textId="0912C6BA" w:rsidR="00801A22" w:rsidRDefault="00801A22" w:rsidP="00BD456A">
      <w:pPr>
        <w:pStyle w:val="Paragraphedeliste"/>
        <w:numPr>
          <w:ilvl w:val="0"/>
          <w:numId w:val="16"/>
        </w:numPr>
        <w:jc w:val="both"/>
        <w:rPr>
          <w:sz w:val="24"/>
          <w:szCs w:val="24"/>
        </w:rPr>
      </w:pPr>
      <w:r>
        <w:rPr>
          <w:sz w:val="24"/>
          <w:szCs w:val="24"/>
        </w:rPr>
        <w:t xml:space="preserve">Elaborer un bilan </w:t>
      </w:r>
      <w:r w:rsidR="00EA1C2A">
        <w:rPr>
          <w:sz w:val="24"/>
          <w:szCs w:val="24"/>
        </w:rPr>
        <w:t>énergétique</w:t>
      </w:r>
      <w:r w:rsidR="00822CD4">
        <w:rPr>
          <w:sz w:val="24"/>
          <w:szCs w:val="24"/>
        </w:rPr>
        <w:t xml:space="preserve"> national</w:t>
      </w:r>
      <w:r>
        <w:rPr>
          <w:sz w:val="24"/>
          <w:szCs w:val="24"/>
        </w:rPr>
        <w:t xml:space="preserve"> </w:t>
      </w:r>
      <w:r w:rsidR="00A122C5">
        <w:rPr>
          <w:sz w:val="24"/>
          <w:szCs w:val="24"/>
        </w:rPr>
        <w:t xml:space="preserve">avec les </w:t>
      </w:r>
      <w:r w:rsidR="00EA1C2A">
        <w:rPr>
          <w:sz w:val="24"/>
          <w:szCs w:val="24"/>
        </w:rPr>
        <w:t>données</w:t>
      </w:r>
      <w:r w:rsidR="00A122C5">
        <w:rPr>
          <w:sz w:val="24"/>
          <w:szCs w:val="24"/>
        </w:rPr>
        <w:t xml:space="preserve"> existantes </w:t>
      </w:r>
      <w:r w:rsidR="00D63142">
        <w:rPr>
          <w:sz w:val="24"/>
          <w:szCs w:val="24"/>
        </w:rPr>
        <w:t xml:space="preserve">afin d’initier </w:t>
      </w:r>
      <w:r w:rsidR="00BC7839">
        <w:rPr>
          <w:sz w:val="24"/>
          <w:szCs w:val="24"/>
        </w:rPr>
        <w:t xml:space="preserve">un travail permettant de consolider les </w:t>
      </w:r>
      <w:r w:rsidR="00BD4465">
        <w:rPr>
          <w:sz w:val="24"/>
          <w:szCs w:val="24"/>
        </w:rPr>
        <w:t>données</w:t>
      </w:r>
      <w:r w:rsidR="00BC7839">
        <w:rPr>
          <w:sz w:val="24"/>
          <w:szCs w:val="24"/>
        </w:rPr>
        <w:t xml:space="preserve"> et mettre en place les premiers jalons d’un inventaire complet</w:t>
      </w:r>
      <w:r w:rsidR="00FC282F">
        <w:rPr>
          <w:sz w:val="24"/>
          <w:szCs w:val="24"/>
        </w:rPr>
        <w:t xml:space="preserve"> pour le secteur de </w:t>
      </w:r>
      <w:r w:rsidR="00BD4465">
        <w:rPr>
          <w:sz w:val="24"/>
          <w:szCs w:val="24"/>
        </w:rPr>
        <w:t>l’énergie ;</w:t>
      </w:r>
      <w:r w:rsidR="00BC7839">
        <w:rPr>
          <w:sz w:val="24"/>
          <w:szCs w:val="24"/>
        </w:rPr>
        <w:t xml:space="preserve"> </w:t>
      </w:r>
    </w:p>
    <w:p w14:paraId="383EDBFA" w14:textId="23F8AB0B" w:rsidR="00DD1B15" w:rsidRDefault="00F77EE0" w:rsidP="00BD456A">
      <w:pPr>
        <w:pStyle w:val="Paragraphedeliste"/>
        <w:numPr>
          <w:ilvl w:val="0"/>
          <w:numId w:val="16"/>
        </w:numPr>
        <w:jc w:val="both"/>
        <w:rPr>
          <w:sz w:val="24"/>
          <w:szCs w:val="24"/>
        </w:rPr>
      </w:pPr>
      <w:r>
        <w:rPr>
          <w:sz w:val="24"/>
          <w:szCs w:val="24"/>
        </w:rPr>
        <w:t xml:space="preserve">Identifier les gaps de capacités pour </w:t>
      </w:r>
      <w:r w:rsidR="00247CB5">
        <w:rPr>
          <w:sz w:val="24"/>
          <w:szCs w:val="24"/>
        </w:rPr>
        <w:t>élaborer</w:t>
      </w:r>
      <w:r>
        <w:rPr>
          <w:sz w:val="24"/>
          <w:szCs w:val="24"/>
        </w:rPr>
        <w:t xml:space="preserve"> un programme de renforcement de </w:t>
      </w:r>
      <w:r w:rsidR="00247CB5">
        <w:rPr>
          <w:sz w:val="24"/>
          <w:szCs w:val="24"/>
        </w:rPr>
        <w:t>capacités</w:t>
      </w:r>
      <w:r>
        <w:rPr>
          <w:sz w:val="24"/>
          <w:szCs w:val="24"/>
        </w:rPr>
        <w:t xml:space="preserve"> pour le groupe de travail national inventaire GES</w:t>
      </w:r>
      <w:r w:rsidR="00427AA7">
        <w:rPr>
          <w:rStyle w:val="Appelnotedebasdep"/>
          <w:sz w:val="24"/>
          <w:szCs w:val="24"/>
        </w:rPr>
        <w:footnoteReference w:id="2"/>
      </w:r>
      <w:r>
        <w:rPr>
          <w:sz w:val="24"/>
          <w:szCs w:val="24"/>
        </w:rPr>
        <w:t xml:space="preserve"> ; </w:t>
      </w:r>
    </w:p>
    <w:p w14:paraId="7E57AA1D" w14:textId="30EE5317" w:rsidR="00670536" w:rsidRDefault="00E87C56" w:rsidP="00BD456A">
      <w:pPr>
        <w:pStyle w:val="Paragraphedeliste"/>
        <w:numPr>
          <w:ilvl w:val="0"/>
          <w:numId w:val="16"/>
        </w:numPr>
        <w:jc w:val="both"/>
        <w:rPr>
          <w:sz w:val="24"/>
          <w:szCs w:val="24"/>
        </w:rPr>
      </w:pPr>
      <w:r>
        <w:rPr>
          <w:sz w:val="24"/>
          <w:szCs w:val="24"/>
        </w:rPr>
        <w:t>Mettre en place un système national de l’inventaire de GES</w:t>
      </w:r>
      <w:r w:rsidR="006F4340">
        <w:rPr>
          <w:sz w:val="24"/>
          <w:szCs w:val="24"/>
        </w:rPr>
        <w:t xml:space="preserve"> en concertation avec les partenaires nationaux</w:t>
      </w:r>
      <w:r>
        <w:rPr>
          <w:sz w:val="24"/>
          <w:szCs w:val="24"/>
        </w:rPr>
        <w:t>. Le design de ce système devra considérer</w:t>
      </w:r>
      <w:r w:rsidR="00870521">
        <w:rPr>
          <w:sz w:val="24"/>
          <w:szCs w:val="24"/>
        </w:rPr>
        <w:t xml:space="preserve"> entre autres</w:t>
      </w:r>
      <w:r>
        <w:rPr>
          <w:sz w:val="24"/>
          <w:szCs w:val="24"/>
        </w:rPr>
        <w:t xml:space="preserve"> les capacités national</w:t>
      </w:r>
      <w:r w:rsidR="00DC689F">
        <w:rPr>
          <w:sz w:val="24"/>
          <w:szCs w:val="24"/>
        </w:rPr>
        <w:t>es</w:t>
      </w:r>
      <w:r w:rsidR="009E26C6">
        <w:rPr>
          <w:sz w:val="24"/>
          <w:szCs w:val="24"/>
        </w:rPr>
        <w:t xml:space="preserve"> le gérer</w:t>
      </w:r>
      <w:r>
        <w:rPr>
          <w:sz w:val="24"/>
          <w:szCs w:val="24"/>
        </w:rPr>
        <w:t xml:space="preserve">, la dynamique </w:t>
      </w:r>
      <w:r w:rsidR="00A627F1">
        <w:rPr>
          <w:sz w:val="24"/>
          <w:szCs w:val="24"/>
        </w:rPr>
        <w:t>à</w:t>
      </w:r>
      <w:r>
        <w:rPr>
          <w:sz w:val="24"/>
          <w:szCs w:val="24"/>
        </w:rPr>
        <w:t xml:space="preserve"> créer autour de l’inventaire</w:t>
      </w:r>
      <w:r w:rsidR="00E10A81">
        <w:rPr>
          <w:sz w:val="24"/>
          <w:szCs w:val="24"/>
        </w:rPr>
        <w:t>, l’assurance qualité des données</w:t>
      </w:r>
      <w:r>
        <w:rPr>
          <w:sz w:val="24"/>
          <w:szCs w:val="24"/>
        </w:rPr>
        <w:t xml:space="preserve"> et </w:t>
      </w:r>
      <w:r w:rsidR="00E10A81">
        <w:rPr>
          <w:sz w:val="24"/>
          <w:szCs w:val="24"/>
        </w:rPr>
        <w:t xml:space="preserve">bien évidemment </w:t>
      </w:r>
      <w:r w:rsidR="00F91F7A">
        <w:rPr>
          <w:sz w:val="24"/>
          <w:szCs w:val="24"/>
        </w:rPr>
        <w:t xml:space="preserve">l’ancrage institutionnel pour assurer sa </w:t>
      </w:r>
      <w:r w:rsidR="005420F9">
        <w:rPr>
          <w:sz w:val="24"/>
          <w:szCs w:val="24"/>
        </w:rPr>
        <w:t>durabilité</w:t>
      </w:r>
      <w:r w:rsidR="00670536">
        <w:rPr>
          <w:sz w:val="24"/>
          <w:szCs w:val="24"/>
        </w:rPr>
        <w:t> ;</w:t>
      </w:r>
    </w:p>
    <w:p w14:paraId="15F1136E" w14:textId="0CC3604D" w:rsidR="00670536" w:rsidRPr="00364108" w:rsidRDefault="00EF0331" w:rsidP="00BD456A">
      <w:pPr>
        <w:pStyle w:val="Paragraphedeliste"/>
        <w:numPr>
          <w:ilvl w:val="0"/>
          <w:numId w:val="16"/>
        </w:numPr>
        <w:jc w:val="both"/>
        <w:rPr>
          <w:color w:val="FF0000"/>
          <w:sz w:val="24"/>
          <w:szCs w:val="24"/>
        </w:rPr>
      </w:pPr>
      <w:r w:rsidRPr="00364108">
        <w:rPr>
          <w:sz w:val="24"/>
          <w:szCs w:val="24"/>
        </w:rPr>
        <w:t xml:space="preserve">Elaborer un rapport avec les recommandations pertinentes pour les améliorations nécessaires </w:t>
      </w:r>
      <w:r w:rsidR="0059425A" w:rsidRPr="00364108">
        <w:rPr>
          <w:sz w:val="24"/>
          <w:szCs w:val="24"/>
        </w:rPr>
        <w:t>à</w:t>
      </w:r>
      <w:r w:rsidRPr="00364108">
        <w:rPr>
          <w:sz w:val="24"/>
          <w:szCs w:val="24"/>
        </w:rPr>
        <w:t xml:space="preserve"> faire pour chaque secteur</w:t>
      </w:r>
      <w:r w:rsidR="00F542E4" w:rsidRPr="00364108">
        <w:rPr>
          <w:sz w:val="24"/>
          <w:szCs w:val="24"/>
        </w:rPr>
        <w:t xml:space="preserve"> de l’inventaire</w:t>
      </w:r>
      <w:r w:rsidRPr="00364108">
        <w:rPr>
          <w:sz w:val="24"/>
          <w:szCs w:val="24"/>
        </w:rPr>
        <w:t xml:space="preserve"> et pour</w:t>
      </w:r>
      <w:r w:rsidR="0059425A" w:rsidRPr="00364108">
        <w:rPr>
          <w:sz w:val="24"/>
          <w:szCs w:val="24"/>
        </w:rPr>
        <w:t xml:space="preserve"> le</w:t>
      </w:r>
      <w:r w:rsidR="00FA25C3" w:rsidRPr="00364108">
        <w:rPr>
          <w:sz w:val="24"/>
          <w:szCs w:val="24"/>
        </w:rPr>
        <w:t>s</w:t>
      </w:r>
      <w:r w:rsidR="0059425A" w:rsidRPr="00364108">
        <w:rPr>
          <w:sz w:val="24"/>
          <w:szCs w:val="24"/>
        </w:rPr>
        <w:t xml:space="preserve"> </w:t>
      </w:r>
      <w:r w:rsidR="00FA25C3" w:rsidRPr="00364108">
        <w:rPr>
          <w:sz w:val="24"/>
          <w:szCs w:val="24"/>
        </w:rPr>
        <w:t xml:space="preserve">mises </w:t>
      </w:r>
      <w:r w:rsidR="00670536" w:rsidRPr="00364108">
        <w:rPr>
          <w:sz w:val="24"/>
          <w:szCs w:val="24"/>
        </w:rPr>
        <w:t>à jour</w:t>
      </w:r>
      <w:r w:rsidR="00FA25C3" w:rsidRPr="00364108">
        <w:rPr>
          <w:sz w:val="24"/>
          <w:szCs w:val="24"/>
        </w:rPr>
        <w:t xml:space="preserve"> </w:t>
      </w:r>
      <w:r w:rsidR="00670536" w:rsidRPr="00364108">
        <w:rPr>
          <w:sz w:val="24"/>
          <w:szCs w:val="24"/>
        </w:rPr>
        <w:t>à venir</w:t>
      </w:r>
      <w:r w:rsidR="0059425A" w:rsidRPr="00364108">
        <w:rPr>
          <w:sz w:val="24"/>
          <w:szCs w:val="24"/>
        </w:rPr>
        <w:t xml:space="preserve"> </w:t>
      </w:r>
      <w:r w:rsidR="004525E7" w:rsidRPr="00364108">
        <w:rPr>
          <w:sz w:val="24"/>
          <w:szCs w:val="24"/>
        </w:rPr>
        <w:t>qui rentrent dans le cadre de</w:t>
      </w:r>
      <w:r w:rsidR="0059425A" w:rsidRPr="00364108">
        <w:rPr>
          <w:sz w:val="24"/>
          <w:szCs w:val="24"/>
        </w:rPr>
        <w:t xml:space="preserve"> la mise en œuvre de l’Accord de Paris en </w:t>
      </w:r>
      <w:r w:rsidR="006C4973" w:rsidRPr="00364108">
        <w:rPr>
          <w:sz w:val="24"/>
          <w:szCs w:val="24"/>
        </w:rPr>
        <w:t>Guinée</w:t>
      </w:r>
      <w:r w:rsidR="00670536" w:rsidRPr="00364108">
        <w:rPr>
          <w:sz w:val="24"/>
          <w:szCs w:val="24"/>
        </w:rPr>
        <w:t>-</w:t>
      </w:r>
      <w:r w:rsidR="0059425A" w:rsidRPr="00364108">
        <w:rPr>
          <w:sz w:val="24"/>
          <w:szCs w:val="24"/>
        </w:rPr>
        <w:t>Bissau notamment les exigences en termes d</w:t>
      </w:r>
      <w:r w:rsidR="00E12674" w:rsidRPr="00364108">
        <w:rPr>
          <w:sz w:val="24"/>
          <w:szCs w:val="24"/>
        </w:rPr>
        <w:t>u cadre de</w:t>
      </w:r>
      <w:r w:rsidR="0059425A" w:rsidRPr="00364108">
        <w:rPr>
          <w:sz w:val="24"/>
          <w:szCs w:val="24"/>
        </w:rPr>
        <w:t xml:space="preserve"> transparence</w:t>
      </w:r>
      <w:r w:rsidR="00822CD4" w:rsidRPr="00364108">
        <w:rPr>
          <w:sz w:val="24"/>
          <w:szCs w:val="24"/>
        </w:rPr>
        <w:t xml:space="preserve"> renforcée (CTR)</w:t>
      </w:r>
      <w:r w:rsidR="0059425A" w:rsidRPr="00364108">
        <w:rPr>
          <w:sz w:val="24"/>
          <w:szCs w:val="24"/>
        </w:rPr>
        <w:t xml:space="preserve">. </w:t>
      </w:r>
      <w:r w:rsidR="00670536" w:rsidRPr="00364108">
        <w:rPr>
          <w:sz w:val="24"/>
          <w:szCs w:val="24"/>
        </w:rPr>
        <w:t>A1. Réaliser la collecte de données relatives aux programmes/projets planifiés pour la période 2020-2030 ayant un impact sur les émissions de GES (à la hausse ou la baisse) dans les secteurs Energie et AFOLU ;</w:t>
      </w:r>
    </w:p>
    <w:p w14:paraId="475BA630" w14:textId="77777777" w:rsidR="003509B3" w:rsidRPr="00364108" w:rsidRDefault="003509B3">
      <w:pPr>
        <w:pStyle w:val="Paragraphedeliste"/>
        <w:jc w:val="both"/>
        <w:rPr>
          <w:sz w:val="24"/>
          <w:szCs w:val="24"/>
        </w:rPr>
      </w:pPr>
    </w:p>
    <w:p w14:paraId="03D0C65C" w14:textId="217D7EED" w:rsidR="00623DE9" w:rsidRPr="00632795" w:rsidRDefault="00CE5552" w:rsidP="00BD456A">
      <w:pPr>
        <w:pStyle w:val="Paragraphedeliste"/>
        <w:numPr>
          <w:ilvl w:val="1"/>
          <w:numId w:val="17"/>
        </w:numPr>
        <w:jc w:val="both"/>
        <w:rPr>
          <w:b/>
          <w:bCs/>
          <w:sz w:val="24"/>
          <w:szCs w:val="24"/>
        </w:rPr>
      </w:pPr>
      <w:r w:rsidRPr="00632795">
        <w:rPr>
          <w:b/>
          <w:bCs/>
          <w:sz w:val="24"/>
          <w:szCs w:val="24"/>
        </w:rPr>
        <w:t xml:space="preserve">Mise à jour du volet atténuation de la CDN : </w:t>
      </w:r>
    </w:p>
    <w:p w14:paraId="1F74FAF5" w14:textId="77777777" w:rsidR="00A516CA" w:rsidRPr="009A78FC" w:rsidRDefault="00A516CA" w:rsidP="00A516CA">
      <w:pPr>
        <w:jc w:val="both"/>
        <w:rPr>
          <w:sz w:val="24"/>
          <w:szCs w:val="24"/>
        </w:rPr>
      </w:pPr>
      <w:r w:rsidRPr="009A78FC">
        <w:rPr>
          <w:sz w:val="24"/>
          <w:szCs w:val="24"/>
        </w:rPr>
        <w:t>Les nouvelles lignes directrices relatives à l’atténuation visent à élaborer des CDN robustes et transparentes permettant aux pays de répondre à un ensemble de questions notamment :</w:t>
      </w:r>
    </w:p>
    <w:p w14:paraId="65CC56C7" w14:textId="77777777" w:rsidR="00A516CA" w:rsidRPr="0098569B" w:rsidRDefault="00A516CA" w:rsidP="00BD456A">
      <w:pPr>
        <w:pStyle w:val="Paragraphedeliste"/>
        <w:numPr>
          <w:ilvl w:val="0"/>
          <w:numId w:val="5"/>
        </w:numPr>
        <w:jc w:val="both"/>
        <w:rPr>
          <w:sz w:val="24"/>
          <w:szCs w:val="24"/>
        </w:rPr>
      </w:pPr>
      <w:r w:rsidRPr="0098569B">
        <w:rPr>
          <w:sz w:val="24"/>
          <w:szCs w:val="24"/>
        </w:rPr>
        <w:t>Comment leur CDN contribue à l’atteinte des objectifs de l’accord de Paris ?</w:t>
      </w:r>
    </w:p>
    <w:p w14:paraId="6B29FEF6" w14:textId="77777777" w:rsidR="00A516CA" w:rsidRPr="0098569B" w:rsidRDefault="00A516CA" w:rsidP="00BD456A">
      <w:pPr>
        <w:pStyle w:val="Paragraphedeliste"/>
        <w:numPr>
          <w:ilvl w:val="0"/>
          <w:numId w:val="5"/>
        </w:numPr>
        <w:jc w:val="both"/>
        <w:rPr>
          <w:sz w:val="24"/>
          <w:szCs w:val="24"/>
        </w:rPr>
      </w:pPr>
      <w:r w:rsidRPr="0098569B">
        <w:rPr>
          <w:sz w:val="24"/>
          <w:szCs w:val="24"/>
        </w:rPr>
        <w:t>Comment ils prennent en considération l’équité entre les pays ?</w:t>
      </w:r>
    </w:p>
    <w:p w14:paraId="45270812" w14:textId="77777777" w:rsidR="00A516CA" w:rsidRPr="0098569B" w:rsidRDefault="00A516CA" w:rsidP="00BD456A">
      <w:pPr>
        <w:pStyle w:val="Paragraphedeliste"/>
        <w:numPr>
          <w:ilvl w:val="0"/>
          <w:numId w:val="5"/>
        </w:numPr>
        <w:jc w:val="both"/>
        <w:rPr>
          <w:sz w:val="24"/>
          <w:szCs w:val="24"/>
        </w:rPr>
      </w:pPr>
      <w:r w:rsidRPr="0098569B">
        <w:rPr>
          <w:sz w:val="24"/>
          <w:szCs w:val="24"/>
        </w:rPr>
        <w:t>Comment ils ont inclus la participation des parties prenantes dans l’élaboration de la CDN ?</w:t>
      </w:r>
    </w:p>
    <w:p w14:paraId="056D792D" w14:textId="77777777" w:rsidR="00A516CA" w:rsidRPr="0098569B" w:rsidRDefault="00A516CA" w:rsidP="00BD456A">
      <w:pPr>
        <w:pStyle w:val="Paragraphedeliste"/>
        <w:numPr>
          <w:ilvl w:val="0"/>
          <w:numId w:val="5"/>
        </w:numPr>
        <w:jc w:val="both"/>
        <w:rPr>
          <w:sz w:val="24"/>
          <w:szCs w:val="24"/>
        </w:rPr>
      </w:pPr>
      <w:r w:rsidRPr="0098569B">
        <w:rPr>
          <w:sz w:val="24"/>
          <w:szCs w:val="24"/>
        </w:rPr>
        <w:t>De quelle manière, ils estiment que leur CDN est juste compte tenu de leur contexte national ?</w:t>
      </w:r>
    </w:p>
    <w:p w14:paraId="53CE76A2" w14:textId="77777777" w:rsidR="00A516CA" w:rsidRPr="009A78FC" w:rsidRDefault="00A516CA" w:rsidP="00A516CA">
      <w:pPr>
        <w:jc w:val="both"/>
        <w:rPr>
          <w:sz w:val="24"/>
          <w:szCs w:val="24"/>
        </w:rPr>
      </w:pPr>
      <w:r w:rsidRPr="009A78FC">
        <w:rPr>
          <w:sz w:val="24"/>
          <w:szCs w:val="24"/>
        </w:rPr>
        <w:t>La décision 4/ CAM 1 de la COP 24 encourage fortement les pays à appliquer les lignes directrices à partir de 2020, les annexes 1 et 2 de cette décision fournissent les informations nécessaires ayant trait à la clarté, la transparence, la compréhension et la comptabilisation de la CDN.</w:t>
      </w:r>
    </w:p>
    <w:p w14:paraId="1B02FDF5" w14:textId="2EF562A6" w:rsidR="00E25895" w:rsidRPr="009A78FC" w:rsidRDefault="00624C30" w:rsidP="009A78FC">
      <w:pPr>
        <w:jc w:val="both"/>
        <w:rPr>
          <w:sz w:val="24"/>
          <w:szCs w:val="24"/>
        </w:rPr>
      </w:pPr>
      <w:r w:rsidRPr="009A78FC">
        <w:rPr>
          <w:sz w:val="24"/>
          <w:szCs w:val="24"/>
        </w:rPr>
        <w:t>En matière d’atténuation des émissions de GES, l</w:t>
      </w:r>
      <w:r w:rsidR="00E25895" w:rsidRPr="009A78FC">
        <w:rPr>
          <w:sz w:val="24"/>
          <w:szCs w:val="24"/>
        </w:rPr>
        <w:t xml:space="preserve">a démarche méthodologique de la mise à jour de </w:t>
      </w:r>
      <w:r w:rsidRPr="009A78FC">
        <w:rPr>
          <w:sz w:val="24"/>
          <w:szCs w:val="24"/>
        </w:rPr>
        <w:t xml:space="preserve">la CDN </w:t>
      </w:r>
      <w:r w:rsidR="00DB1287">
        <w:rPr>
          <w:sz w:val="24"/>
          <w:szCs w:val="24"/>
        </w:rPr>
        <w:t>de la</w:t>
      </w:r>
      <w:r w:rsidR="009D35FF">
        <w:rPr>
          <w:sz w:val="24"/>
          <w:szCs w:val="24"/>
        </w:rPr>
        <w:t xml:space="preserve"> </w:t>
      </w:r>
      <w:r w:rsidR="006C7568">
        <w:rPr>
          <w:sz w:val="24"/>
          <w:szCs w:val="24"/>
        </w:rPr>
        <w:t>Guinée</w:t>
      </w:r>
      <w:r w:rsidR="009D35FF">
        <w:rPr>
          <w:sz w:val="24"/>
          <w:szCs w:val="24"/>
        </w:rPr>
        <w:t xml:space="preserve"> Bissau</w:t>
      </w:r>
      <w:r w:rsidR="0078203A">
        <w:rPr>
          <w:sz w:val="24"/>
          <w:szCs w:val="24"/>
        </w:rPr>
        <w:t xml:space="preserve"> </w:t>
      </w:r>
      <w:r w:rsidR="00E25895" w:rsidRPr="009A78FC">
        <w:rPr>
          <w:sz w:val="24"/>
          <w:szCs w:val="24"/>
        </w:rPr>
        <w:t>repose sur un ensemble d’éléments à prendre en considération en particulier :</w:t>
      </w:r>
    </w:p>
    <w:p w14:paraId="61D0807A" w14:textId="70A00528" w:rsidR="00C9301F" w:rsidRDefault="003C6E63" w:rsidP="00BD456A">
      <w:pPr>
        <w:pStyle w:val="Paragraphedeliste"/>
        <w:numPr>
          <w:ilvl w:val="0"/>
          <w:numId w:val="7"/>
        </w:numPr>
        <w:jc w:val="both"/>
        <w:rPr>
          <w:sz w:val="24"/>
          <w:szCs w:val="24"/>
        </w:rPr>
      </w:pPr>
      <w:r>
        <w:rPr>
          <w:sz w:val="24"/>
          <w:szCs w:val="24"/>
        </w:rPr>
        <w:t>Le</w:t>
      </w:r>
      <w:r w:rsidR="00E414D7">
        <w:rPr>
          <w:sz w:val="24"/>
          <w:szCs w:val="24"/>
        </w:rPr>
        <w:t xml:space="preserve"> bilan de la situation </w:t>
      </w:r>
      <w:r w:rsidR="004209A7">
        <w:rPr>
          <w:sz w:val="24"/>
          <w:szCs w:val="24"/>
        </w:rPr>
        <w:t>entre 2015-20</w:t>
      </w:r>
      <w:r>
        <w:rPr>
          <w:sz w:val="24"/>
          <w:szCs w:val="24"/>
        </w:rPr>
        <w:t>20</w:t>
      </w:r>
      <w:r w:rsidR="007F24A6">
        <w:rPr>
          <w:sz w:val="24"/>
          <w:szCs w:val="24"/>
        </w:rPr>
        <w:t xml:space="preserve"> élaboré par </w:t>
      </w:r>
      <w:r w:rsidR="00E14A94">
        <w:rPr>
          <w:sz w:val="24"/>
          <w:szCs w:val="24"/>
        </w:rPr>
        <w:t xml:space="preserve">la </w:t>
      </w:r>
      <w:r w:rsidR="000B4B74">
        <w:rPr>
          <w:sz w:val="24"/>
          <w:szCs w:val="24"/>
        </w:rPr>
        <w:t>Guinée</w:t>
      </w:r>
      <w:r w:rsidR="00E14A94">
        <w:rPr>
          <w:sz w:val="24"/>
          <w:szCs w:val="24"/>
        </w:rPr>
        <w:t xml:space="preserve"> Bissau avec l’appui du programme GCCA+ et Expertise </w:t>
      </w:r>
      <w:r w:rsidR="003D2027">
        <w:rPr>
          <w:sz w:val="24"/>
          <w:szCs w:val="24"/>
        </w:rPr>
        <w:t xml:space="preserve">France. </w:t>
      </w:r>
      <w:r w:rsidR="00595589">
        <w:rPr>
          <w:sz w:val="24"/>
          <w:szCs w:val="24"/>
        </w:rPr>
        <w:t>Il s’agit d’</w:t>
      </w:r>
      <w:r w:rsidR="003D2027" w:rsidRPr="005F4500">
        <w:rPr>
          <w:sz w:val="24"/>
          <w:szCs w:val="24"/>
        </w:rPr>
        <w:t xml:space="preserve">un état d’avancement des objectifs développés dans la CDN de 2015, </w:t>
      </w:r>
      <w:r w:rsidR="000B4B74">
        <w:rPr>
          <w:sz w:val="24"/>
          <w:szCs w:val="24"/>
        </w:rPr>
        <w:t>d’</w:t>
      </w:r>
      <w:r w:rsidR="003D2027" w:rsidRPr="005F4500">
        <w:rPr>
          <w:sz w:val="24"/>
          <w:szCs w:val="24"/>
        </w:rPr>
        <w:t>un bilan des projets prévus en matière d’atténuation entre 2020 et 2030,</w:t>
      </w:r>
      <w:r w:rsidR="000B4B74">
        <w:rPr>
          <w:sz w:val="24"/>
          <w:szCs w:val="24"/>
        </w:rPr>
        <w:t xml:space="preserve"> et d’</w:t>
      </w:r>
      <w:r w:rsidR="003D2027" w:rsidRPr="005F4500">
        <w:rPr>
          <w:sz w:val="24"/>
          <w:szCs w:val="24"/>
        </w:rPr>
        <w:t xml:space="preserve">un bilan de données utilisées pour le dernier </w:t>
      </w:r>
      <w:r w:rsidR="00640771">
        <w:rPr>
          <w:sz w:val="24"/>
          <w:szCs w:val="24"/>
        </w:rPr>
        <w:t xml:space="preserve">inventaire de </w:t>
      </w:r>
      <w:r w:rsidR="003D2027" w:rsidRPr="005F4500">
        <w:rPr>
          <w:sz w:val="24"/>
          <w:szCs w:val="24"/>
        </w:rPr>
        <w:t>GES ainsi que les nouvelles données disponibles pour établir une nouvelle situation de référence</w:t>
      </w:r>
      <w:r w:rsidR="0034670C">
        <w:rPr>
          <w:sz w:val="24"/>
          <w:szCs w:val="24"/>
        </w:rPr>
        <w:t xml:space="preserve"> (éventuelle)</w:t>
      </w:r>
      <w:r w:rsidR="003D2027" w:rsidRPr="005F4500">
        <w:rPr>
          <w:sz w:val="24"/>
          <w:szCs w:val="24"/>
        </w:rPr>
        <w:t>.</w:t>
      </w:r>
      <w:r w:rsidR="003D2027">
        <w:rPr>
          <w:sz w:val="24"/>
          <w:szCs w:val="24"/>
        </w:rPr>
        <w:t xml:space="preserve"> </w:t>
      </w:r>
      <w:r w:rsidR="00084B2D">
        <w:rPr>
          <w:sz w:val="24"/>
          <w:szCs w:val="24"/>
        </w:rPr>
        <w:t xml:space="preserve">Il est </w:t>
      </w:r>
      <w:r w:rsidR="00185516">
        <w:rPr>
          <w:sz w:val="24"/>
          <w:szCs w:val="24"/>
        </w:rPr>
        <w:t>à noter</w:t>
      </w:r>
      <w:r w:rsidR="00084B2D">
        <w:rPr>
          <w:sz w:val="24"/>
          <w:szCs w:val="24"/>
        </w:rPr>
        <w:t xml:space="preserve"> que c</w:t>
      </w:r>
      <w:r w:rsidR="003D2027" w:rsidRPr="005F4500">
        <w:rPr>
          <w:sz w:val="24"/>
          <w:szCs w:val="24"/>
        </w:rPr>
        <w:t>e diagnostic</w:t>
      </w:r>
      <w:r w:rsidR="0034670C">
        <w:rPr>
          <w:sz w:val="24"/>
          <w:szCs w:val="24"/>
        </w:rPr>
        <w:t xml:space="preserve"> se</w:t>
      </w:r>
      <w:r w:rsidR="003D2027" w:rsidRPr="005F4500">
        <w:rPr>
          <w:sz w:val="24"/>
          <w:szCs w:val="24"/>
        </w:rPr>
        <w:t xml:space="preserve"> </w:t>
      </w:r>
      <w:r w:rsidR="000A561D">
        <w:rPr>
          <w:sz w:val="24"/>
          <w:szCs w:val="24"/>
        </w:rPr>
        <w:t xml:space="preserve">focalise </w:t>
      </w:r>
      <w:r w:rsidR="003D2027" w:rsidRPr="005F4500">
        <w:rPr>
          <w:sz w:val="24"/>
          <w:szCs w:val="24"/>
        </w:rPr>
        <w:t>sur les deux secteurs clés de l’atténuation en Guinée-Bissau : l’énergie (</w:t>
      </w:r>
      <w:r w:rsidR="0034670C">
        <w:rPr>
          <w:sz w:val="24"/>
          <w:szCs w:val="24"/>
        </w:rPr>
        <w:t xml:space="preserve">essentiellement </w:t>
      </w:r>
      <w:r w:rsidR="003D2027" w:rsidRPr="005F4500">
        <w:rPr>
          <w:sz w:val="24"/>
          <w:szCs w:val="24"/>
        </w:rPr>
        <w:t xml:space="preserve">à partir de la biomasse) et le secteur </w:t>
      </w:r>
      <w:r w:rsidR="00ED6C27" w:rsidRPr="005F4500">
        <w:rPr>
          <w:sz w:val="24"/>
          <w:szCs w:val="24"/>
        </w:rPr>
        <w:t>forestier ;</w:t>
      </w:r>
      <w:r w:rsidR="009F1FAA" w:rsidRPr="005F4500">
        <w:rPr>
          <w:sz w:val="24"/>
          <w:szCs w:val="24"/>
        </w:rPr>
        <w:t xml:space="preserve"> </w:t>
      </w:r>
    </w:p>
    <w:p w14:paraId="67D60765" w14:textId="0EB95564" w:rsidR="007275DE" w:rsidRPr="00145E6E" w:rsidRDefault="007275DE" w:rsidP="00BD456A">
      <w:pPr>
        <w:pStyle w:val="Paragraphedeliste"/>
        <w:numPr>
          <w:ilvl w:val="0"/>
          <w:numId w:val="7"/>
        </w:numPr>
        <w:jc w:val="both"/>
        <w:rPr>
          <w:sz w:val="24"/>
          <w:szCs w:val="24"/>
        </w:rPr>
      </w:pPr>
      <w:r>
        <w:rPr>
          <w:sz w:val="24"/>
          <w:szCs w:val="24"/>
        </w:rPr>
        <w:t>L</w:t>
      </w:r>
      <w:r w:rsidR="0034670C">
        <w:rPr>
          <w:sz w:val="24"/>
          <w:szCs w:val="24"/>
        </w:rPr>
        <w:t xml:space="preserve">e </w:t>
      </w:r>
      <w:r w:rsidR="00185516">
        <w:rPr>
          <w:sz w:val="24"/>
          <w:szCs w:val="24"/>
        </w:rPr>
        <w:t>choix de</w:t>
      </w:r>
      <w:r>
        <w:rPr>
          <w:sz w:val="24"/>
          <w:szCs w:val="24"/>
        </w:rPr>
        <w:t xml:space="preserve"> l’année de référence </w:t>
      </w:r>
      <w:r w:rsidR="0034670C">
        <w:rPr>
          <w:sz w:val="24"/>
          <w:szCs w:val="24"/>
        </w:rPr>
        <w:t xml:space="preserve">en fonction de la disponibilité des données à la fois pour le bilan énergétique et </w:t>
      </w:r>
      <w:r>
        <w:rPr>
          <w:sz w:val="24"/>
          <w:szCs w:val="24"/>
        </w:rPr>
        <w:t xml:space="preserve"> </w:t>
      </w:r>
      <w:r w:rsidR="008C5968">
        <w:rPr>
          <w:sz w:val="24"/>
          <w:szCs w:val="24"/>
        </w:rPr>
        <w:t xml:space="preserve"> l’inventaire national </w:t>
      </w:r>
      <w:r w:rsidR="008C5968" w:rsidRPr="00145E6E">
        <w:rPr>
          <w:sz w:val="24"/>
          <w:szCs w:val="24"/>
        </w:rPr>
        <w:t xml:space="preserve">GES qui sera </w:t>
      </w:r>
      <w:r w:rsidR="00F743DB" w:rsidRPr="00145E6E">
        <w:rPr>
          <w:sz w:val="24"/>
          <w:szCs w:val="24"/>
        </w:rPr>
        <w:t>élaboré</w:t>
      </w:r>
      <w:r w:rsidR="00650A37" w:rsidRPr="00145E6E">
        <w:rPr>
          <w:sz w:val="24"/>
          <w:szCs w:val="24"/>
        </w:rPr>
        <w:t xml:space="preserve"> ; </w:t>
      </w:r>
    </w:p>
    <w:p w14:paraId="4B8EEEDC" w14:textId="0A114090" w:rsidR="000D2166" w:rsidRPr="00145E6E" w:rsidRDefault="0034670C" w:rsidP="002929E7">
      <w:pPr>
        <w:pStyle w:val="Paragraphedeliste"/>
        <w:jc w:val="both"/>
        <w:rPr>
          <w:sz w:val="24"/>
          <w:szCs w:val="24"/>
        </w:rPr>
      </w:pPr>
      <w:r>
        <w:rPr>
          <w:sz w:val="24"/>
          <w:szCs w:val="24"/>
        </w:rPr>
        <w:t xml:space="preserve">Les perspectives de </w:t>
      </w:r>
      <w:r w:rsidR="00185516">
        <w:rPr>
          <w:sz w:val="24"/>
          <w:szCs w:val="24"/>
        </w:rPr>
        <w:t xml:space="preserve">développement </w:t>
      </w:r>
      <w:r w:rsidR="00185516" w:rsidRPr="00145E6E">
        <w:rPr>
          <w:sz w:val="24"/>
          <w:szCs w:val="24"/>
        </w:rPr>
        <w:t>socioéconomique</w:t>
      </w:r>
      <w:r w:rsidR="00EB0435" w:rsidRPr="00145E6E">
        <w:rPr>
          <w:sz w:val="24"/>
          <w:szCs w:val="24"/>
        </w:rPr>
        <w:t xml:space="preserve"> </w:t>
      </w:r>
      <w:r w:rsidR="000D2166" w:rsidRPr="00145E6E">
        <w:rPr>
          <w:sz w:val="24"/>
          <w:szCs w:val="24"/>
        </w:rPr>
        <w:t>du pays, notamment le PIB, le taux d</w:t>
      </w:r>
      <w:r w:rsidR="005B263E" w:rsidRPr="00145E6E">
        <w:rPr>
          <w:sz w:val="24"/>
          <w:szCs w:val="24"/>
        </w:rPr>
        <w:t>’évolution</w:t>
      </w:r>
      <w:r w:rsidR="000D2166" w:rsidRPr="00145E6E">
        <w:rPr>
          <w:sz w:val="24"/>
          <w:szCs w:val="24"/>
        </w:rPr>
        <w:t xml:space="preserve"> </w:t>
      </w:r>
      <w:r w:rsidR="00F57CE0" w:rsidRPr="00145E6E">
        <w:rPr>
          <w:sz w:val="24"/>
          <w:szCs w:val="24"/>
        </w:rPr>
        <w:t>démographique</w:t>
      </w:r>
      <w:r w:rsidR="000D2166" w:rsidRPr="00145E6E">
        <w:rPr>
          <w:sz w:val="24"/>
          <w:szCs w:val="24"/>
        </w:rPr>
        <w:t xml:space="preserve"> …</w:t>
      </w:r>
      <w:r w:rsidR="007E49B8">
        <w:rPr>
          <w:sz w:val="24"/>
          <w:szCs w:val="24"/>
        </w:rPr>
        <w:t xml:space="preserve"> le prestataire de service </w:t>
      </w:r>
      <w:r w:rsidR="00ED6C27">
        <w:rPr>
          <w:sz w:val="24"/>
          <w:szCs w:val="24"/>
        </w:rPr>
        <w:t xml:space="preserve">aura </w:t>
      </w:r>
      <w:r w:rsidR="00185516">
        <w:rPr>
          <w:sz w:val="24"/>
          <w:szCs w:val="24"/>
        </w:rPr>
        <w:t>à se</w:t>
      </w:r>
      <w:r w:rsidR="007E49B8">
        <w:rPr>
          <w:sz w:val="24"/>
          <w:szCs w:val="24"/>
        </w:rPr>
        <w:t xml:space="preserve"> référer aux données nationales si elles existent sinon celles des </w:t>
      </w:r>
      <w:r w:rsidR="004D15D7">
        <w:rPr>
          <w:sz w:val="24"/>
          <w:szCs w:val="24"/>
        </w:rPr>
        <w:t>organisations</w:t>
      </w:r>
      <w:r w:rsidR="007E49B8">
        <w:rPr>
          <w:sz w:val="24"/>
          <w:szCs w:val="24"/>
        </w:rPr>
        <w:t xml:space="preserve"> internationales de </w:t>
      </w:r>
      <w:r w:rsidR="004D15D7">
        <w:rPr>
          <w:sz w:val="24"/>
          <w:szCs w:val="24"/>
        </w:rPr>
        <w:t>référence</w:t>
      </w:r>
      <w:r w:rsidR="007E49B8">
        <w:rPr>
          <w:sz w:val="24"/>
          <w:szCs w:val="24"/>
        </w:rPr>
        <w:t xml:space="preserve">. En l’absence d’un scenario </w:t>
      </w:r>
      <w:r w:rsidR="004D15D7">
        <w:rPr>
          <w:sz w:val="24"/>
          <w:szCs w:val="24"/>
        </w:rPr>
        <w:t>socioéconomique</w:t>
      </w:r>
      <w:r w:rsidR="007E49B8">
        <w:rPr>
          <w:sz w:val="24"/>
          <w:szCs w:val="24"/>
        </w:rPr>
        <w:t xml:space="preserve"> de </w:t>
      </w:r>
      <w:r w:rsidR="004D15D7">
        <w:rPr>
          <w:sz w:val="24"/>
          <w:szCs w:val="24"/>
        </w:rPr>
        <w:t>référence</w:t>
      </w:r>
      <w:r w:rsidR="007E49B8">
        <w:rPr>
          <w:sz w:val="24"/>
          <w:szCs w:val="24"/>
        </w:rPr>
        <w:t xml:space="preserve"> le bureau d’</w:t>
      </w:r>
      <w:r w:rsidR="004D15D7">
        <w:rPr>
          <w:sz w:val="24"/>
          <w:szCs w:val="24"/>
        </w:rPr>
        <w:t>études</w:t>
      </w:r>
      <w:r w:rsidR="007E49B8">
        <w:rPr>
          <w:sz w:val="24"/>
          <w:szCs w:val="24"/>
        </w:rPr>
        <w:t xml:space="preserve"> </w:t>
      </w:r>
      <w:r w:rsidR="004D15D7">
        <w:rPr>
          <w:sz w:val="24"/>
          <w:szCs w:val="24"/>
        </w:rPr>
        <w:t>définira</w:t>
      </w:r>
      <w:r w:rsidR="007E49B8">
        <w:rPr>
          <w:sz w:val="24"/>
          <w:szCs w:val="24"/>
        </w:rPr>
        <w:t xml:space="preserve"> un scenario </w:t>
      </w:r>
      <w:r>
        <w:rPr>
          <w:sz w:val="24"/>
          <w:szCs w:val="24"/>
        </w:rPr>
        <w:t xml:space="preserve">prospectif d’encadrement </w:t>
      </w:r>
      <w:r w:rsidR="00EA7B62">
        <w:rPr>
          <w:sz w:val="24"/>
          <w:szCs w:val="24"/>
        </w:rPr>
        <w:t>socioéconomique en</w:t>
      </w:r>
      <w:r w:rsidR="007E49B8">
        <w:rPr>
          <w:sz w:val="24"/>
          <w:szCs w:val="24"/>
        </w:rPr>
        <w:t xml:space="preserve"> concertation avec les partenaires nationaux pertinents (</w:t>
      </w:r>
      <w:proofErr w:type="spellStart"/>
      <w:r w:rsidR="007E49B8">
        <w:rPr>
          <w:sz w:val="24"/>
          <w:szCs w:val="24"/>
        </w:rPr>
        <w:t>e.g</w:t>
      </w:r>
      <w:proofErr w:type="spellEnd"/>
      <w:r w:rsidR="007E49B8">
        <w:rPr>
          <w:sz w:val="24"/>
          <w:szCs w:val="24"/>
        </w:rPr>
        <w:t xml:space="preserve"> Ministère</w:t>
      </w:r>
      <w:r w:rsidR="00E875A0">
        <w:rPr>
          <w:sz w:val="24"/>
          <w:szCs w:val="24"/>
        </w:rPr>
        <w:t xml:space="preserve"> de l’</w:t>
      </w:r>
      <w:r w:rsidR="004D15D7">
        <w:rPr>
          <w:sz w:val="24"/>
          <w:szCs w:val="24"/>
        </w:rPr>
        <w:t>économie</w:t>
      </w:r>
      <w:r w:rsidR="00E875A0">
        <w:rPr>
          <w:sz w:val="24"/>
          <w:szCs w:val="24"/>
        </w:rPr>
        <w:t>,</w:t>
      </w:r>
      <w:r w:rsidR="007E49B8">
        <w:rPr>
          <w:sz w:val="24"/>
          <w:szCs w:val="24"/>
        </w:rPr>
        <w:t xml:space="preserve"> du plan </w:t>
      </w:r>
      <w:r w:rsidR="00E875A0">
        <w:rPr>
          <w:sz w:val="24"/>
          <w:szCs w:val="24"/>
        </w:rPr>
        <w:t>et de l’</w:t>
      </w:r>
      <w:r w:rsidR="001268D3">
        <w:rPr>
          <w:sz w:val="24"/>
          <w:szCs w:val="24"/>
        </w:rPr>
        <w:t>intégration</w:t>
      </w:r>
      <w:r w:rsidR="00E875A0">
        <w:rPr>
          <w:sz w:val="24"/>
          <w:szCs w:val="24"/>
        </w:rPr>
        <w:t xml:space="preserve"> </w:t>
      </w:r>
      <w:r w:rsidR="004D15D7">
        <w:rPr>
          <w:sz w:val="24"/>
          <w:szCs w:val="24"/>
        </w:rPr>
        <w:t>régionale</w:t>
      </w:r>
      <w:r w:rsidR="00E875A0">
        <w:rPr>
          <w:sz w:val="24"/>
          <w:szCs w:val="24"/>
        </w:rPr>
        <w:t>) ;</w:t>
      </w:r>
    </w:p>
    <w:p w14:paraId="49FDE29B" w14:textId="1DFCA398" w:rsidR="00E25895" w:rsidRPr="009344A5" w:rsidRDefault="00E25895" w:rsidP="00BD456A">
      <w:pPr>
        <w:pStyle w:val="Paragraphedeliste"/>
        <w:numPr>
          <w:ilvl w:val="0"/>
          <w:numId w:val="7"/>
        </w:numPr>
        <w:jc w:val="both"/>
        <w:rPr>
          <w:sz w:val="24"/>
          <w:szCs w:val="24"/>
        </w:rPr>
      </w:pPr>
      <w:r w:rsidRPr="009344A5">
        <w:rPr>
          <w:sz w:val="24"/>
          <w:szCs w:val="24"/>
        </w:rPr>
        <w:t>Le renforcement de la concertation, l’implication des acteurs étatiques et non étatiques et la</w:t>
      </w:r>
      <w:r w:rsidR="00E30F4E">
        <w:rPr>
          <w:sz w:val="24"/>
          <w:szCs w:val="24"/>
        </w:rPr>
        <w:t xml:space="preserve"> </w:t>
      </w:r>
      <w:r w:rsidRPr="009344A5">
        <w:rPr>
          <w:sz w:val="24"/>
          <w:szCs w:val="24"/>
        </w:rPr>
        <w:t xml:space="preserve">mise en place des structures institutionnelles adéquates </w:t>
      </w:r>
      <w:r w:rsidR="00A2010B">
        <w:rPr>
          <w:sz w:val="24"/>
          <w:szCs w:val="24"/>
        </w:rPr>
        <w:t xml:space="preserve">en étroite collaboration avec le Ministère de l’Environnement et de la </w:t>
      </w:r>
      <w:r w:rsidR="00A2010B" w:rsidRPr="003608E4">
        <w:rPr>
          <w:sz w:val="24"/>
          <w:szCs w:val="24"/>
        </w:rPr>
        <w:t xml:space="preserve">Biodiversité </w:t>
      </w:r>
      <w:r w:rsidRPr="00800093">
        <w:rPr>
          <w:sz w:val="24"/>
          <w:szCs w:val="24"/>
        </w:rPr>
        <w:t>(</w:t>
      </w:r>
      <w:r w:rsidR="001843A8" w:rsidRPr="00800093">
        <w:rPr>
          <w:sz w:val="24"/>
          <w:szCs w:val="24"/>
        </w:rPr>
        <w:t xml:space="preserve">notamment </w:t>
      </w:r>
      <w:r w:rsidR="00197A98" w:rsidRPr="00800093">
        <w:rPr>
          <w:sz w:val="24"/>
          <w:szCs w:val="24"/>
        </w:rPr>
        <w:t xml:space="preserve">des </w:t>
      </w:r>
      <w:r w:rsidRPr="00800093">
        <w:rPr>
          <w:sz w:val="24"/>
          <w:szCs w:val="24"/>
        </w:rPr>
        <w:t>groupes de travail sectoriels</w:t>
      </w:r>
      <w:r w:rsidR="00940A82">
        <w:rPr>
          <w:sz w:val="24"/>
          <w:szCs w:val="24"/>
        </w:rPr>
        <w:t xml:space="preserve"> ou le groupe inventaire GES</w:t>
      </w:r>
      <w:r w:rsidRPr="00800093">
        <w:rPr>
          <w:sz w:val="24"/>
          <w:szCs w:val="24"/>
        </w:rPr>
        <w:t xml:space="preserve">) pour assurer le suivi </w:t>
      </w:r>
      <w:r w:rsidR="00613A48" w:rsidRPr="00800093">
        <w:rPr>
          <w:sz w:val="24"/>
          <w:szCs w:val="24"/>
        </w:rPr>
        <w:t>des travaux de</w:t>
      </w:r>
      <w:r w:rsidRPr="00800093">
        <w:rPr>
          <w:sz w:val="24"/>
          <w:szCs w:val="24"/>
        </w:rPr>
        <w:t xml:space="preserve"> mise à jour de la CDN </w:t>
      </w:r>
      <w:r w:rsidR="00C4477F" w:rsidRPr="00800093">
        <w:rPr>
          <w:sz w:val="24"/>
          <w:szCs w:val="24"/>
        </w:rPr>
        <w:t xml:space="preserve">et ce en plus du comité de pilotage déjà en place depuis Septembre </w:t>
      </w:r>
      <w:r w:rsidR="00CD1893" w:rsidRPr="00800093">
        <w:rPr>
          <w:sz w:val="24"/>
          <w:szCs w:val="24"/>
        </w:rPr>
        <w:t>2020</w:t>
      </w:r>
      <w:r w:rsidR="00CD1893" w:rsidRPr="003608E4">
        <w:rPr>
          <w:sz w:val="24"/>
          <w:szCs w:val="24"/>
        </w:rPr>
        <w:t xml:space="preserve"> ;</w:t>
      </w:r>
    </w:p>
    <w:p w14:paraId="48E2D710" w14:textId="0819F291" w:rsidR="00E25895" w:rsidRPr="009344A5" w:rsidRDefault="00E25895" w:rsidP="00BD456A">
      <w:pPr>
        <w:pStyle w:val="Paragraphedeliste"/>
        <w:numPr>
          <w:ilvl w:val="0"/>
          <w:numId w:val="7"/>
        </w:numPr>
        <w:jc w:val="both"/>
        <w:rPr>
          <w:sz w:val="24"/>
          <w:szCs w:val="24"/>
        </w:rPr>
      </w:pPr>
      <w:r w:rsidRPr="009344A5">
        <w:rPr>
          <w:sz w:val="24"/>
          <w:szCs w:val="24"/>
        </w:rPr>
        <w:t xml:space="preserve">La prise en considération </w:t>
      </w:r>
      <w:r w:rsidR="008A14C5" w:rsidRPr="009344A5">
        <w:rPr>
          <w:sz w:val="24"/>
          <w:szCs w:val="24"/>
        </w:rPr>
        <w:t xml:space="preserve">dans la mise à jour des objectifs sectoriels et national </w:t>
      </w:r>
      <w:r w:rsidR="00460E4E" w:rsidRPr="009344A5">
        <w:rPr>
          <w:sz w:val="24"/>
          <w:szCs w:val="24"/>
        </w:rPr>
        <w:t>d’atténuation de</w:t>
      </w:r>
      <w:r w:rsidR="00CD1893">
        <w:rPr>
          <w:sz w:val="24"/>
          <w:szCs w:val="24"/>
        </w:rPr>
        <w:t xml:space="preserve"> toutes les </w:t>
      </w:r>
      <w:r w:rsidR="004E7061">
        <w:rPr>
          <w:sz w:val="24"/>
          <w:szCs w:val="24"/>
        </w:rPr>
        <w:t>stratégies</w:t>
      </w:r>
      <w:r w:rsidR="00CD1893">
        <w:rPr>
          <w:sz w:val="24"/>
          <w:szCs w:val="24"/>
        </w:rPr>
        <w:t xml:space="preserve"> et</w:t>
      </w:r>
      <w:r w:rsidR="00CD1893" w:rsidRPr="009344A5">
        <w:rPr>
          <w:sz w:val="24"/>
          <w:szCs w:val="24"/>
        </w:rPr>
        <w:t xml:space="preserve"> </w:t>
      </w:r>
      <w:r w:rsidRPr="009344A5">
        <w:rPr>
          <w:sz w:val="24"/>
          <w:szCs w:val="24"/>
        </w:rPr>
        <w:t>plan</w:t>
      </w:r>
      <w:r w:rsidR="00CD1893">
        <w:rPr>
          <w:sz w:val="24"/>
          <w:szCs w:val="24"/>
        </w:rPr>
        <w:t xml:space="preserve">s sectoriels et/ou nationaux en cours d’élaboration </w:t>
      </w:r>
      <w:r w:rsidR="007A1ED8">
        <w:rPr>
          <w:sz w:val="24"/>
          <w:szCs w:val="24"/>
        </w:rPr>
        <w:t xml:space="preserve">et </w:t>
      </w:r>
      <w:r w:rsidR="00F157CC">
        <w:rPr>
          <w:sz w:val="24"/>
          <w:szCs w:val="24"/>
        </w:rPr>
        <w:t>couvrant</w:t>
      </w:r>
      <w:r w:rsidR="007A1ED8">
        <w:rPr>
          <w:sz w:val="24"/>
          <w:szCs w:val="24"/>
        </w:rPr>
        <w:t xml:space="preserve"> les 5 </w:t>
      </w:r>
      <w:r w:rsidR="00BB2E79">
        <w:rPr>
          <w:sz w:val="24"/>
          <w:szCs w:val="24"/>
        </w:rPr>
        <w:t>années</w:t>
      </w:r>
      <w:r w:rsidR="007A1ED8">
        <w:rPr>
          <w:sz w:val="24"/>
          <w:szCs w:val="24"/>
        </w:rPr>
        <w:t xml:space="preserve"> </w:t>
      </w:r>
      <w:r w:rsidR="005C4782">
        <w:rPr>
          <w:sz w:val="24"/>
          <w:szCs w:val="24"/>
        </w:rPr>
        <w:t>à</w:t>
      </w:r>
      <w:r w:rsidR="007A1ED8">
        <w:rPr>
          <w:sz w:val="24"/>
          <w:szCs w:val="24"/>
        </w:rPr>
        <w:t xml:space="preserve"> venir </w:t>
      </w:r>
      <w:r w:rsidR="00CD1893">
        <w:rPr>
          <w:sz w:val="24"/>
          <w:szCs w:val="24"/>
        </w:rPr>
        <w:t xml:space="preserve">ou déjà </w:t>
      </w:r>
      <w:r w:rsidR="004E7061">
        <w:rPr>
          <w:sz w:val="24"/>
          <w:szCs w:val="24"/>
        </w:rPr>
        <w:t>élaborés</w:t>
      </w:r>
      <w:r w:rsidR="007142D6">
        <w:rPr>
          <w:sz w:val="24"/>
          <w:szCs w:val="24"/>
        </w:rPr>
        <w:t xml:space="preserve"> entre 2019 et 2020</w:t>
      </w:r>
      <w:r w:rsidR="00CD1893">
        <w:rPr>
          <w:sz w:val="24"/>
          <w:szCs w:val="24"/>
        </w:rPr>
        <w:t xml:space="preserve"> ; </w:t>
      </w:r>
      <w:r w:rsidRPr="009344A5">
        <w:rPr>
          <w:sz w:val="24"/>
          <w:szCs w:val="24"/>
        </w:rPr>
        <w:t xml:space="preserve"> </w:t>
      </w:r>
    </w:p>
    <w:p w14:paraId="52A579E0" w14:textId="52E69187" w:rsidR="00613A48" w:rsidRPr="009A78FC" w:rsidRDefault="00624C30" w:rsidP="00BD456A">
      <w:pPr>
        <w:pStyle w:val="Paragraphedeliste"/>
        <w:numPr>
          <w:ilvl w:val="0"/>
          <w:numId w:val="7"/>
        </w:numPr>
        <w:jc w:val="both"/>
        <w:rPr>
          <w:sz w:val="24"/>
          <w:szCs w:val="24"/>
        </w:rPr>
      </w:pPr>
      <w:r w:rsidRPr="009A78FC">
        <w:rPr>
          <w:sz w:val="24"/>
          <w:szCs w:val="24"/>
        </w:rPr>
        <w:t xml:space="preserve">Le recours à </w:t>
      </w:r>
      <w:r w:rsidR="00613A48" w:rsidRPr="009A78FC">
        <w:rPr>
          <w:sz w:val="24"/>
          <w:szCs w:val="24"/>
        </w:rPr>
        <w:t>une vision globale de long terme qui intègre à la fois la croissance économique, la justice sociale et la politique climatique d’atténuation dans l’en</w:t>
      </w:r>
      <w:r w:rsidR="00FF7446" w:rsidRPr="009A78FC">
        <w:rPr>
          <w:sz w:val="24"/>
          <w:szCs w:val="24"/>
        </w:rPr>
        <w:t xml:space="preserve">semble des secteurs </w:t>
      </w:r>
      <w:r w:rsidR="001268D3" w:rsidRPr="009A78FC">
        <w:rPr>
          <w:sz w:val="24"/>
          <w:szCs w:val="24"/>
        </w:rPr>
        <w:t>concernés ;</w:t>
      </w:r>
    </w:p>
    <w:p w14:paraId="003ECD34" w14:textId="5FE9B08B" w:rsidR="004F256A" w:rsidRPr="004F256A" w:rsidRDefault="00624C30" w:rsidP="00BD456A">
      <w:pPr>
        <w:pStyle w:val="Paragraphedeliste"/>
        <w:numPr>
          <w:ilvl w:val="0"/>
          <w:numId w:val="7"/>
        </w:numPr>
        <w:jc w:val="both"/>
        <w:rPr>
          <w:sz w:val="24"/>
          <w:szCs w:val="24"/>
        </w:rPr>
      </w:pPr>
      <w:r w:rsidRPr="00472314">
        <w:rPr>
          <w:sz w:val="24"/>
          <w:szCs w:val="24"/>
        </w:rPr>
        <w:t xml:space="preserve">La </w:t>
      </w:r>
      <w:r w:rsidR="005B5E58">
        <w:rPr>
          <w:sz w:val="24"/>
          <w:szCs w:val="24"/>
        </w:rPr>
        <w:t>définition</w:t>
      </w:r>
      <w:r w:rsidR="004C6984" w:rsidRPr="00472314">
        <w:rPr>
          <w:sz w:val="24"/>
          <w:szCs w:val="24"/>
        </w:rPr>
        <w:t xml:space="preserve"> de</w:t>
      </w:r>
      <w:r w:rsidR="00FF7446" w:rsidRPr="00472314">
        <w:rPr>
          <w:sz w:val="24"/>
          <w:szCs w:val="24"/>
        </w:rPr>
        <w:t xml:space="preserve"> l’objectif national d’atténuation de la CDN </w:t>
      </w:r>
      <w:r w:rsidR="00AD7BAA">
        <w:rPr>
          <w:sz w:val="24"/>
          <w:szCs w:val="24"/>
        </w:rPr>
        <w:t xml:space="preserve">à l’horizon </w:t>
      </w:r>
      <w:r w:rsidR="00FD53D1">
        <w:rPr>
          <w:sz w:val="24"/>
          <w:szCs w:val="24"/>
        </w:rPr>
        <w:t xml:space="preserve">2030 </w:t>
      </w:r>
      <w:r w:rsidR="00422041">
        <w:rPr>
          <w:sz w:val="24"/>
          <w:szCs w:val="24"/>
        </w:rPr>
        <w:t>s</w:t>
      </w:r>
      <w:r w:rsidR="00FF7446" w:rsidRPr="00472314">
        <w:rPr>
          <w:sz w:val="24"/>
          <w:szCs w:val="24"/>
        </w:rPr>
        <w:t xml:space="preserve">ur la base de </w:t>
      </w:r>
      <w:r w:rsidR="003A1D0B" w:rsidRPr="00472314">
        <w:rPr>
          <w:sz w:val="24"/>
          <w:szCs w:val="24"/>
        </w:rPr>
        <w:t xml:space="preserve">l’agrégation des objectifs </w:t>
      </w:r>
      <w:r w:rsidR="005B5E58">
        <w:rPr>
          <w:sz w:val="24"/>
          <w:szCs w:val="24"/>
        </w:rPr>
        <w:t>sectoriels </w:t>
      </w:r>
      <w:r w:rsidR="008F5C83">
        <w:rPr>
          <w:sz w:val="24"/>
          <w:szCs w:val="24"/>
        </w:rPr>
        <w:t xml:space="preserve">également </w:t>
      </w:r>
      <w:r w:rsidR="0068060E">
        <w:rPr>
          <w:sz w:val="24"/>
          <w:szCs w:val="24"/>
        </w:rPr>
        <w:t>à</w:t>
      </w:r>
      <w:r w:rsidR="008F5C83">
        <w:rPr>
          <w:sz w:val="24"/>
          <w:szCs w:val="24"/>
        </w:rPr>
        <w:t xml:space="preserve"> </w:t>
      </w:r>
      <w:r w:rsidR="00FB52DF">
        <w:rPr>
          <w:sz w:val="24"/>
          <w:szCs w:val="24"/>
        </w:rPr>
        <w:t>définir</w:t>
      </w:r>
      <w:r w:rsidR="004F256A">
        <w:rPr>
          <w:sz w:val="24"/>
          <w:szCs w:val="24"/>
        </w:rPr>
        <w:t xml:space="preserve">. Durant cette </w:t>
      </w:r>
      <w:r w:rsidR="002C5A59">
        <w:rPr>
          <w:sz w:val="24"/>
          <w:szCs w:val="24"/>
        </w:rPr>
        <w:t>étape</w:t>
      </w:r>
      <w:r w:rsidR="004F256A">
        <w:rPr>
          <w:sz w:val="24"/>
          <w:szCs w:val="24"/>
        </w:rPr>
        <w:t xml:space="preserve">, les scenarios d '’atténuation seront définis. </w:t>
      </w:r>
      <w:r w:rsidR="004F256A" w:rsidRPr="004F256A">
        <w:rPr>
          <w:sz w:val="24"/>
          <w:szCs w:val="24"/>
        </w:rPr>
        <w:t>Pour chacun des secteurs, les émissions de GES évitées sont calculées sur la base de la comparaison de deux scénarios différenciés sur la politique sectorielle d’atténuation :</w:t>
      </w:r>
    </w:p>
    <w:p w14:paraId="0452FB91" w14:textId="652A2639" w:rsidR="004F256A" w:rsidRPr="00A14C53" w:rsidRDefault="004F256A" w:rsidP="00BD456A">
      <w:pPr>
        <w:pStyle w:val="Paragraphedeliste"/>
        <w:numPr>
          <w:ilvl w:val="0"/>
          <w:numId w:val="19"/>
        </w:numPr>
        <w:ind w:left="2268"/>
        <w:jc w:val="both"/>
        <w:rPr>
          <w:sz w:val="24"/>
          <w:szCs w:val="24"/>
        </w:rPr>
      </w:pPr>
      <w:r w:rsidRPr="00A14C53">
        <w:rPr>
          <w:sz w:val="24"/>
          <w:szCs w:val="24"/>
        </w:rPr>
        <w:t>Un scénario de référence</w:t>
      </w:r>
      <w:r w:rsidR="00A26797">
        <w:rPr>
          <w:sz w:val="24"/>
          <w:szCs w:val="24"/>
        </w:rPr>
        <w:t>/BAU</w:t>
      </w:r>
      <w:r w:rsidRPr="00A14C53">
        <w:rPr>
          <w:sz w:val="24"/>
          <w:szCs w:val="24"/>
        </w:rPr>
        <w:t xml:space="preserve"> qui traduit le prolongement de la politique actuelle en matière d’atténuation ;</w:t>
      </w:r>
    </w:p>
    <w:p w14:paraId="7E899B93" w14:textId="306125B5" w:rsidR="004F256A" w:rsidRPr="00A14C53" w:rsidRDefault="004F256A" w:rsidP="00BD456A">
      <w:pPr>
        <w:pStyle w:val="Paragraphedeliste"/>
        <w:numPr>
          <w:ilvl w:val="0"/>
          <w:numId w:val="19"/>
        </w:numPr>
        <w:ind w:left="2268"/>
        <w:jc w:val="both"/>
        <w:rPr>
          <w:sz w:val="24"/>
          <w:szCs w:val="24"/>
        </w:rPr>
      </w:pPr>
      <w:r w:rsidRPr="00A14C53">
        <w:rPr>
          <w:sz w:val="24"/>
          <w:szCs w:val="24"/>
        </w:rPr>
        <w:t xml:space="preserve">Un scénario </w:t>
      </w:r>
      <w:r w:rsidR="00BB182E">
        <w:rPr>
          <w:sz w:val="24"/>
          <w:szCs w:val="24"/>
        </w:rPr>
        <w:t>volontariste/</w:t>
      </w:r>
      <w:r w:rsidRPr="00A14C53">
        <w:rPr>
          <w:sz w:val="24"/>
          <w:szCs w:val="24"/>
        </w:rPr>
        <w:t>bas carbone qui traduit le renforcement de la politique d’atténuation et le rehaussement de l’ambition climatique</w:t>
      </w:r>
    </w:p>
    <w:p w14:paraId="4EC12CFC" w14:textId="2DC92352" w:rsidR="00235A06" w:rsidRPr="002C5A59" w:rsidRDefault="00235A06" w:rsidP="00BD456A">
      <w:pPr>
        <w:pStyle w:val="Paragraphedeliste"/>
        <w:numPr>
          <w:ilvl w:val="0"/>
          <w:numId w:val="7"/>
        </w:numPr>
        <w:jc w:val="both"/>
        <w:rPr>
          <w:sz w:val="24"/>
          <w:szCs w:val="24"/>
        </w:rPr>
      </w:pPr>
      <w:r w:rsidRPr="002C5A59">
        <w:rPr>
          <w:sz w:val="24"/>
          <w:szCs w:val="24"/>
        </w:rPr>
        <w:t>Projection des émissions de GES : Les travaux de projection des émissions de GES sont réalisés sur la base d’une approche ascendante au niveau sectoriel ensuite agrégée au niveau national.</w:t>
      </w:r>
      <w:r w:rsidR="00873AFC">
        <w:rPr>
          <w:sz w:val="24"/>
          <w:szCs w:val="24"/>
        </w:rPr>
        <w:t xml:space="preserve"> Ceci sera fait en étroite concertation au niveau central. </w:t>
      </w:r>
    </w:p>
    <w:p w14:paraId="63E799FC" w14:textId="6B82A8A7" w:rsidR="00235A06" w:rsidRPr="002C5A59" w:rsidRDefault="00235A06" w:rsidP="00BD456A">
      <w:pPr>
        <w:pStyle w:val="Paragraphedeliste"/>
        <w:numPr>
          <w:ilvl w:val="0"/>
          <w:numId w:val="19"/>
        </w:numPr>
        <w:ind w:left="2268"/>
        <w:jc w:val="both"/>
        <w:rPr>
          <w:sz w:val="24"/>
          <w:szCs w:val="24"/>
        </w:rPr>
      </w:pPr>
      <w:r w:rsidRPr="002C5A59">
        <w:rPr>
          <w:sz w:val="24"/>
          <w:szCs w:val="24"/>
        </w:rPr>
        <w:t xml:space="preserve">Pour chacun des secteurs </w:t>
      </w:r>
      <w:r w:rsidR="00F82BDA">
        <w:rPr>
          <w:sz w:val="24"/>
          <w:szCs w:val="24"/>
        </w:rPr>
        <w:t>de l’</w:t>
      </w:r>
      <w:r w:rsidR="00A43C0C">
        <w:rPr>
          <w:sz w:val="24"/>
          <w:szCs w:val="24"/>
        </w:rPr>
        <w:t>atténuation</w:t>
      </w:r>
      <w:r w:rsidRPr="002C5A59">
        <w:rPr>
          <w:sz w:val="24"/>
          <w:szCs w:val="24"/>
        </w:rPr>
        <w:t>, il s’agit de simuler l’évolution des émissions sur la base du scénario socioéconomique de cadrage et selon deux scénarios d’atténuation spécifiques à chaque secteur (scénario de référence</w:t>
      </w:r>
      <w:r w:rsidR="005B5B0E">
        <w:rPr>
          <w:sz w:val="24"/>
          <w:szCs w:val="24"/>
        </w:rPr>
        <w:t>/BAU</w:t>
      </w:r>
      <w:r w:rsidRPr="002C5A59">
        <w:rPr>
          <w:sz w:val="24"/>
          <w:szCs w:val="24"/>
        </w:rPr>
        <w:t xml:space="preserve"> et scénario</w:t>
      </w:r>
      <w:r w:rsidR="005B5B0E">
        <w:rPr>
          <w:sz w:val="24"/>
          <w:szCs w:val="24"/>
        </w:rPr>
        <w:t xml:space="preserve"> volontariste/</w:t>
      </w:r>
      <w:r w:rsidRPr="002C5A59">
        <w:rPr>
          <w:sz w:val="24"/>
          <w:szCs w:val="24"/>
        </w:rPr>
        <w:t>bas carbone).</w:t>
      </w:r>
    </w:p>
    <w:p w14:paraId="470B3B9A" w14:textId="77777777" w:rsidR="00235A06" w:rsidRDefault="00235A06" w:rsidP="00BD456A">
      <w:pPr>
        <w:pStyle w:val="Paragraphedeliste"/>
        <w:numPr>
          <w:ilvl w:val="0"/>
          <w:numId w:val="19"/>
        </w:numPr>
        <w:ind w:left="2268"/>
        <w:jc w:val="both"/>
        <w:rPr>
          <w:sz w:val="24"/>
          <w:szCs w:val="24"/>
        </w:rPr>
      </w:pPr>
      <w:r w:rsidRPr="002C5A59">
        <w:rPr>
          <w:sz w:val="24"/>
          <w:szCs w:val="24"/>
        </w:rPr>
        <w:t>Au niveau national, il s’agit d’agréger l’évolution des émissions de GES sectorielles pour chaque scénario (référence et bas carbone).</w:t>
      </w:r>
    </w:p>
    <w:p w14:paraId="143A897A" w14:textId="77777777" w:rsidR="00945E43" w:rsidRPr="002C5A59" w:rsidRDefault="00945E43" w:rsidP="00364108">
      <w:pPr>
        <w:pStyle w:val="Paragraphedeliste"/>
        <w:ind w:left="2268"/>
        <w:jc w:val="both"/>
        <w:rPr>
          <w:sz w:val="24"/>
          <w:szCs w:val="24"/>
        </w:rPr>
      </w:pPr>
    </w:p>
    <w:p w14:paraId="4E13ECF7" w14:textId="1F7583C9" w:rsidR="00051917" w:rsidRDefault="00B54A01" w:rsidP="00BD456A">
      <w:pPr>
        <w:pStyle w:val="Paragraphedeliste"/>
        <w:numPr>
          <w:ilvl w:val="0"/>
          <w:numId w:val="8"/>
        </w:numPr>
        <w:jc w:val="both"/>
        <w:rPr>
          <w:sz w:val="24"/>
          <w:szCs w:val="24"/>
        </w:rPr>
      </w:pPr>
      <w:r>
        <w:rPr>
          <w:sz w:val="24"/>
          <w:szCs w:val="24"/>
        </w:rPr>
        <w:t xml:space="preserve">La </w:t>
      </w:r>
      <w:r w:rsidRPr="0026292D">
        <w:rPr>
          <w:sz w:val="24"/>
          <w:szCs w:val="24"/>
        </w:rPr>
        <w:t>quantification</w:t>
      </w:r>
      <w:r>
        <w:rPr>
          <w:sz w:val="24"/>
          <w:szCs w:val="24"/>
        </w:rPr>
        <w:t xml:space="preserve"> des besoins de financement de la CDN </w:t>
      </w:r>
      <w:r w:rsidR="00A65753">
        <w:rPr>
          <w:sz w:val="24"/>
          <w:szCs w:val="24"/>
        </w:rPr>
        <w:t>à</w:t>
      </w:r>
      <w:r w:rsidR="00852B37">
        <w:rPr>
          <w:sz w:val="24"/>
          <w:szCs w:val="24"/>
        </w:rPr>
        <w:t xml:space="preserve"> l’horizon 2030</w:t>
      </w:r>
      <w:r>
        <w:rPr>
          <w:sz w:val="24"/>
          <w:szCs w:val="24"/>
        </w:rPr>
        <w:t>.  </w:t>
      </w:r>
      <w:r w:rsidR="00051917" w:rsidRPr="0026292D">
        <w:rPr>
          <w:sz w:val="24"/>
          <w:szCs w:val="24"/>
        </w:rPr>
        <w:t xml:space="preserve">Pour chacun des secteurs, le bureau d’études est appelé à évaluer les besoins de financement des investissements des projets prioritaires en matière d’atténuation. Il est important de </w:t>
      </w:r>
      <w:r w:rsidR="00206F72" w:rsidRPr="0026292D">
        <w:rPr>
          <w:sz w:val="24"/>
          <w:szCs w:val="24"/>
        </w:rPr>
        <w:t>considérer</w:t>
      </w:r>
      <w:r w:rsidR="00051917" w:rsidRPr="0026292D">
        <w:rPr>
          <w:sz w:val="24"/>
          <w:szCs w:val="24"/>
        </w:rPr>
        <w:t xml:space="preserve"> l’apport du secteur privé avec celui public dans les efforts d’investissement, tant en lien avec le PPP ou via des investissements privés à 100%</w:t>
      </w:r>
      <w:r w:rsidR="00F54759" w:rsidRPr="0026292D">
        <w:rPr>
          <w:sz w:val="24"/>
          <w:szCs w:val="24"/>
        </w:rPr>
        <w:t xml:space="preserve">, et ce selon la planification des projets/investissements </w:t>
      </w:r>
      <w:r w:rsidR="004F12BD" w:rsidRPr="0026292D">
        <w:rPr>
          <w:sz w:val="24"/>
          <w:szCs w:val="24"/>
        </w:rPr>
        <w:t xml:space="preserve">existants et </w:t>
      </w:r>
      <w:r w:rsidR="008A2312" w:rsidRPr="0026292D">
        <w:rPr>
          <w:sz w:val="24"/>
          <w:szCs w:val="24"/>
        </w:rPr>
        <w:t>à</w:t>
      </w:r>
      <w:r w:rsidR="004F12BD" w:rsidRPr="0026292D">
        <w:rPr>
          <w:sz w:val="24"/>
          <w:szCs w:val="24"/>
        </w:rPr>
        <w:t xml:space="preserve"> venir</w:t>
      </w:r>
      <w:r w:rsidR="00051917" w:rsidRPr="0026292D">
        <w:rPr>
          <w:sz w:val="24"/>
          <w:szCs w:val="24"/>
        </w:rPr>
        <w:t xml:space="preserve">. </w:t>
      </w:r>
    </w:p>
    <w:p w14:paraId="24B8B69C" w14:textId="77777777" w:rsidR="00945E43" w:rsidRPr="0026292D" w:rsidRDefault="00945E43" w:rsidP="00364108">
      <w:pPr>
        <w:pStyle w:val="Paragraphedeliste"/>
        <w:jc w:val="both"/>
        <w:rPr>
          <w:sz w:val="24"/>
          <w:szCs w:val="24"/>
        </w:rPr>
      </w:pPr>
    </w:p>
    <w:p w14:paraId="5F920EEF" w14:textId="274D1BBA" w:rsidR="00945E43" w:rsidRDefault="00C311B6" w:rsidP="00BD456A">
      <w:pPr>
        <w:pStyle w:val="Paragraphedeliste"/>
        <w:numPr>
          <w:ilvl w:val="0"/>
          <w:numId w:val="8"/>
        </w:numPr>
        <w:jc w:val="both"/>
        <w:rPr>
          <w:sz w:val="24"/>
          <w:szCs w:val="24"/>
        </w:rPr>
      </w:pPr>
      <w:r w:rsidRPr="0026292D">
        <w:rPr>
          <w:sz w:val="24"/>
          <w:szCs w:val="24"/>
        </w:rPr>
        <w:t>L’évaluation des coûts de financement de la politique d’atténuation doit prendre en considération l’apport de financement additionnel prévu à travers le recours au marché carbon</w:t>
      </w:r>
      <w:r w:rsidR="00BC7C8D" w:rsidRPr="0026292D">
        <w:rPr>
          <w:sz w:val="24"/>
          <w:szCs w:val="24"/>
        </w:rPr>
        <w:t>e selon le potentiel</w:t>
      </w:r>
      <w:r w:rsidR="00C47556" w:rsidRPr="0026292D">
        <w:rPr>
          <w:sz w:val="24"/>
          <w:szCs w:val="24"/>
        </w:rPr>
        <w:t xml:space="preserve"> (</w:t>
      </w:r>
      <w:proofErr w:type="spellStart"/>
      <w:r w:rsidR="00C47556" w:rsidRPr="0026292D">
        <w:rPr>
          <w:sz w:val="24"/>
          <w:szCs w:val="24"/>
        </w:rPr>
        <w:t>e.g</w:t>
      </w:r>
      <w:proofErr w:type="spellEnd"/>
      <w:r w:rsidR="00C47556" w:rsidRPr="0026292D">
        <w:rPr>
          <w:sz w:val="24"/>
          <w:szCs w:val="24"/>
        </w:rPr>
        <w:t xml:space="preserve"> forets)</w:t>
      </w:r>
      <w:r w:rsidRPr="0026292D">
        <w:rPr>
          <w:sz w:val="24"/>
          <w:szCs w:val="24"/>
        </w:rPr>
        <w:t xml:space="preserve">. </w:t>
      </w:r>
      <w:r w:rsidR="00646822" w:rsidRPr="0026292D">
        <w:rPr>
          <w:sz w:val="24"/>
          <w:szCs w:val="24"/>
        </w:rPr>
        <w:t xml:space="preserve"> </w:t>
      </w:r>
      <w:r w:rsidRPr="0026292D">
        <w:rPr>
          <w:sz w:val="24"/>
          <w:szCs w:val="24"/>
        </w:rPr>
        <w:t>Pour soutenir les besoins de financement des coûts d’investissement dans les technologies à faible émission de GES, il est aussi indispensable d’évaluer les besoins financiers en termes de renforcement des capacités pour tous les acteurs afin d’accompagner les efforts de l’action climat.</w:t>
      </w:r>
      <w:r w:rsidR="009B2EA9" w:rsidRPr="009B2EA9">
        <w:rPr>
          <w:color w:val="FF0000"/>
          <w:sz w:val="24"/>
          <w:szCs w:val="24"/>
        </w:rPr>
        <w:t xml:space="preserve"> </w:t>
      </w:r>
    </w:p>
    <w:p w14:paraId="51B23940" w14:textId="77777777" w:rsidR="00945E43" w:rsidRPr="00364108" w:rsidRDefault="00945E43" w:rsidP="00364108">
      <w:pPr>
        <w:pStyle w:val="Paragraphedeliste"/>
        <w:rPr>
          <w:sz w:val="24"/>
          <w:szCs w:val="24"/>
        </w:rPr>
      </w:pPr>
    </w:p>
    <w:p w14:paraId="7636E653" w14:textId="1F026CFB" w:rsidR="00FF7446" w:rsidRPr="0026292D" w:rsidRDefault="00624C30" w:rsidP="00BD456A">
      <w:pPr>
        <w:pStyle w:val="Paragraphedeliste"/>
        <w:numPr>
          <w:ilvl w:val="0"/>
          <w:numId w:val="8"/>
        </w:numPr>
        <w:spacing w:line="276" w:lineRule="auto"/>
        <w:jc w:val="both"/>
        <w:rPr>
          <w:sz w:val="24"/>
          <w:szCs w:val="24"/>
        </w:rPr>
      </w:pPr>
      <w:r w:rsidRPr="0026292D">
        <w:rPr>
          <w:sz w:val="24"/>
          <w:szCs w:val="24"/>
        </w:rPr>
        <w:t>L’évaluation d</w:t>
      </w:r>
      <w:r w:rsidR="004F5B71" w:rsidRPr="0026292D">
        <w:rPr>
          <w:sz w:val="24"/>
          <w:szCs w:val="24"/>
        </w:rPr>
        <w:t>es impac</w:t>
      </w:r>
      <w:r w:rsidR="007004B4" w:rsidRPr="0026292D">
        <w:rPr>
          <w:sz w:val="24"/>
          <w:szCs w:val="24"/>
        </w:rPr>
        <w:t xml:space="preserve">ts de la mise en </w:t>
      </w:r>
      <w:r w:rsidR="006D4463" w:rsidRPr="0026292D">
        <w:rPr>
          <w:sz w:val="24"/>
          <w:szCs w:val="24"/>
        </w:rPr>
        <w:t>œuvre</w:t>
      </w:r>
      <w:r w:rsidR="004F5B71" w:rsidRPr="0026292D">
        <w:rPr>
          <w:sz w:val="24"/>
          <w:szCs w:val="24"/>
        </w:rPr>
        <w:t xml:space="preserve"> de la CDN sur les objectifs du développement durable (ODD)</w:t>
      </w:r>
      <w:r w:rsidR="0032027F" w:rsidRPr="0026292D">
        <w:rPr>
          <w:sz w:val="24"/>
          <w:szCs w:val="24"/>
        </w:rPr>
        <w:t xml:space="preserve"> </w:t>
      </w:r>
      <w:r w:rsidR="00CE2394" w:rsidRPr="0026292D">
        <w:rPr>
          <w:sz w:val="24"/>
          <w:szCs w:val="24"/>
        </w:rPr>
        <w:t xml:space="preserve">pertinents </w:t>
      </w:r>
      <w:r w:rsidR="00F2286F" w:rsidRPr="0026292D">
        <w:rPr>
          <w:sz w:val="24"/>
          <w:szCs w:val="24"/>
        </w:rPr>
        <w:t>(</w:t>
      </w:r>
      <w:proofErr w:type="spellStart"/>
      <w:r w:rsidR="00F2286F" w:rsidRPr="0026292D">
        <w:rPr>
          <w:sz w:val="24"/>
          <w:szCs w:val="24"/>
        </w:rPr>
        <w:t>e.g</w:t>
      </w:r>
      <w:proofErr w:type="spellEnd"/>
      <w:r w:rsidR="00F2286F" w:rsidRPr="0026292D">
        <w:rPr>
          <w:sz w:val="24"/>
          <w:szCs w:val="24"/>
        </w:rPr>
        <w:t xml:space="preserve"> ODD </w:t>
      </w:r>
      <w:r w:rsidR="001B06DB" w:rsidRPr="0026292D">
        <w:rPr>
          <w:sz w:val="24"/>
          <w:szCs w:val="24"/>
        </w:rPr>
        <w:t xml:space="preserve">3,4, 6, </w:t>
      </w:r>
      <w:r w:rsidR="0029205D" w:rsidRPr="0026292D">
        <w:rPr>
          <w:sz w:val="24"/>
          <w:szCs w:val="24"/>
        </w:rPr>
        <w:t xml:space="preserve">5, </w:t>
      </w:r>
      <w:r w:rsidR="00F2286F" w:rsidRPr="0026292D">
        <w:rPr>
          <w:sz w:val="24"/>
          <w:szCs w:val="24"/>
        </w:rPr>
        <w:t>7, 14 et 15</w:t>
      </w:r>
      <w:r w:rsidR="002161DA" w:rsidRPr="0026292D">
        <w:rPr>
          <w:sz w:val="24"/>
          <w:szCs w:val="24"/>
        </w:rPr>
        <w:t>)</w:t>
      </w:r>
      <w:r w:rsidR="002708F8" w:rsidRPr="0026292D">
        <w:rPr>
          <w:sz w:val="24"/>
          <w:szCs w:val="24"/>
        </w:rPr>
        <w:t xml:space="preserve">. Cette analyse devra être </w:t>
      </w:r>
      <w:r w:rsidR="00F73678" w:rsidRPr="0026292D">
        <w:rPr>
          <w:sz w:val="24"/>
          <w:szCs w:val="24"/>
        </w:rPr>
        <w:t>menée</w:t>
      </w:r>
      <w:r w:rsidR="002708F8" w:rsidRPr="0026292D">
        <w:rPr>
          <w:sz w:val="24"/>
          <w:szCs w:val="24"/>
        </w:rPr>
        <w:t xml:space="preserve"> </w:t>
      </w:r>
      <w:r w:rsidR="001268D3" w:rsidRPr="0026292D">
        <w:rPr>
          <w:sz w:val="24"/>
          <w:szCs w:val="24"/>
        </w:rPr>
        <w:t>à la suite d’une</w:t>
      </w:r>
      <w:r w:rsidR="002708F8" w:rsidRPr="0026292D">
        <w:rPr>
          <w:sz w:val="24"/>
          <w:szCs w:val="24"/>
        </w:rPr>
        <w:t xml:space="preserve"> concertation avec les partenaires </w:t>
      </w:r>
      <w:r w:rsidR="008C2020" w:rsidRPr="0026292D">
        <w:rPr>
          <w:sz w:val="24"/>
          <w:szCs w:val="24"/>
        </w:rPr>
        <w:t>nationaux ;</w:t>
      </w:r>
    </w:p>
    <w:p w14:paraId="07036AEF" w14:textId="77777777" w:rsidR="00945E43" w:rsidRDefault="00945E43" w:rsidP="00364108">
      <w:pPr>
        <w:pStyle w:val="Paragraphedeliste"/>
        <w:jc w:val="both"/>
        <w:rPr>
          <w:sz w:val="24"/>
          <w:szCs w:val="24"/>
        </w:rPr>
      </w:pPr>
    </w:p>
    <w:p w14:paraId="7E3C1E1A" w14:textId="3E522CF5" w:rsidR="005C610C" w:rsidRPr="007C0629" w:rsidRDefault="005C610C" w:rsidP="00BD456A">
      <w:pPr>
        <w:pStyle w:val="Paragraphedeliste"/>
        <w:numPr>
          <w:ilvl w:val="0"/>
          <w:numId w:val="8"/>
        </w:numPr>
        <w:jc w:val="both"/>
        <w:rPr>
          <w:sz w:val="24"/>
          <w:szCs w:val="24"/>
        </w:rPr>
      </w:pPr>
      <w:r w:rsidRPr="00FB52DF">
        <w:rPr>
          <w:sz w:val="24"/>
          <w:szCs w:val="24"/>
        </w:rPr>
        <w:t>Améliorer la transparence, la clarté, la compréhension et la comptabilisation de la CDN conformément aux directives du</w:t>
      </w:r>
      <w:r w:rsidR="009643B2">
        <w:rPr>
          <w:sz w:val="24"/>
          <w:szCs w:val="24"/>
        </w:rPr>
        <w:t xml:space="preserve"> Livre de Règles</w:t>
      </w:r>
      <w:r w:rsidRPr="00FB52DF">
        <w:rPr>
          <w:sz w:val="24"/>
          <w:szCs w:val="24"/>
        </w:rPr>
        <w:t xml:space="preserve"> </w:t>
      </w:r>
      <w:r w:rsidR="009643B2">
        <w:rPr>
          <w:sz w:val="24"/>
          <w:szCs w:val="24"/>
        </w:rPr>
        <w:t>(</w:t>
      </w:r>
      <w:proofErr w:type="spellStart"/>
      <w:r w:rsidRPr="00FB52DF">
        <w:rPr>
          <w:sz w:val="24"/>
          <w:szCs w:val="24"/>
        </w:rPr>
        <w:t>rulebook</w:t>
      </w:r>
      <w:proofErr w:type="spellEnd"/>
      <w:r w:rsidR="009643B2">
        <w:rPr>
          <w:sz w:val="24"/>
          <w:szCs w:val="24"/>
        </w:rPr>
        <w:t>)</w:t>
      </w:r>
      <w:r w:rsidRPr="00FB52DF">
        <w:rPr>
          <w:sz w:val="24"/>
          <w:szCs w:val="24"/>
        </w:rPr>
        <w:t xml:space="preserve"> de la COP24</w:t>
      </w:r>
      <w:r>
        <w:rPr>
          <w:sz w:val="24"/>
          <w:szCs w:val="24"/>
        </w:rPr>
        <w:t xml:space="preserve">. </w:t>
      </w:r>
      <w:r w:rsidRPr="007C0629">
        <w:rPr>
          <w:sz w:val="24"/>
          <w:szCs w:val="24"/>
        </w:rPr>
        <w:t>Le prestataire est appelé à proposer les actions à entreprendre pour assurer à terme la mise en place d’un système MRV national qui intègre l’ensemble des secteurs concernés par l’atténuation.  Pour chaque secteur le système MRV repose sur trois composantes principales :</w:t>
      </w:r>
    </w:p>
    <w:p w14:paraId="635BB877" w14:textId="77777777" w:rsidR="005C610C" w:rsidRPr="004B18E4" w:rsidRDefault="005C610C" w:rsidP="00BD456A">
      <w:pPr>
        <w:pStyle w:val="Paragraphedeliste"/>
        <w:numPr>
          <w:ilvl w:val="0"/>
          <w:numId w:val="19"/>
        </w:numPr>
        <w:ind w:left="2268"/>
        <w:jc w:val="both"/>
        <w:rPr>
          <w:sz w:val="24"/>
          <w:szCs w:val="24"/>
        </w:rPr>
      </w:pPr>
      <w:r w:rsidRPr="004B18E4">
        <w:rPr>
          <w:sz w:val="24"/>
          <w:szCs w:val="24"/>
        </w:rPr>
        <w:t>Le MRV des émissions</w:t>
      </w:r>
    </w:p>
    <w:p w14:paraId="50C09228" w14:textId="77777777" w:rsidR="005C610C" w:rsidRPr="004B18E4" w:rsidRDefault="005C610C" w:rsidP="00BD456A">
      <w:pPr>
        <w:pStyle w:val="Paragraphedeliste"/>
        <w:numPr>
          <w:ilvl w:val="0"/>
          <w:numId w:val="19"/>
        </w:numPr>
        <w:ind w:left="2268"/>
        <w:jc w:val="both"/>
        <w:rPr>
          <w:sz w:val="24"/>
          <w:szCs w:val="24"/>
        </w:rPr>
      </w:pPr>
      <w:r w:rsidRPr="004B18E4">
        <w:rPr>
          <w:sz w:val="24"/>
          <w:szCs w:val="24"/>
        </w:rPr>
        <w:t>Le MRV de l’atténuation</w:t>
      </w:r>
    </w:p>
    <w:p w14:paraId="06B3FC13" w14:textId="77777777" w:rsidR="005C610C" w:rsidRPr="004B18E4" w:rsidRDefault="005C610C" w:rsidP="00BD456A">
      <w:pPr>
        <w:pStyle w:val="Paragraphedeliste"/>
        <w:numPr>
          <w:ilvl w:val="0"/>
          <w:numId w:val="19"/>
        </w:numPr>
        <w:ind w:left="2268"/>
        <w:jc w:val="both"/>
        <w:rPr>
          <w:sz w:val="24"/>
          <w:szCs w:val="24"/>
        </w:rPr>
      </w:pPr>
      <w:r w:rsidRPr="004B18E4">
        <w:rPr>
          <w:sz w:val="24"/>
          <w:szCs w:val="24"/>
        </w:rPr>
        <w:t>Le MRV de soutien</w:t>
      </w:r>
    </w:p>
    <w:p w14:paraId="41DA1BD3" w14:textId="77777777" w:rsidR="005C610C" w:rsidRDefault="005C610C" w:rsidP="00FC3748">
      <w:pPr>
        <w:pStyle w:val="Paragraphedeliste"/>
        <w:jc w:val="both"/>
        <w:rPr>
          <w:sz w:val="24"/>
          <w:szCs w:val="24"/>
        </w:rPr>
      </w:pPr>
      <w:r w:rsidRPr="00FC3748">
        <w:rPr>
          <w:sz w:val="24"/>
          <w:szCs w:val="24"/>
        </w:rPr>
        <w:t>Une attention particulière doit être accordée aux dispositifs à mettre en place et aux initiatives à lancer pour assurer le suivi rigoureux, annuel et sectoriel des objectifs de la CDN notamment au niveau de l’inventaires des émissions de GES, l’évaluation des efforts déployés en termes d’atténuation par secteur et du soutien financier de l’investissement et de renforcement des capacités.</w:t>
      </w:r>
    </w:p>
    <w:p w14:paraId="2929FEF5" w14:textId="77777777" w:rsidR="00945E43" w:rsidRPr="00FC3748" w:rsidRDefault="00945E43" w:rsidP="00FC3748">
      <w:pPr>
        <w:pStyle w:val="Paragraphedeliste"/>
        <w:jc w:val="both"/>
        <w:rPr>
          <w:sz w:val="24"/>
          <w:szCs w:val="24"/>
        </w:rPr>
      </w:pPr>
    </w:p>
    <w:p w14:paraId="6D20A017" w14:textId="3B1BAE74" w:rsidR="00237F83" w:rsidRPr="008573E2" w:rsidRDefault="005C610C" w:rsidP="00BD456A">
      <w:pPr>
        <w:pStyle w:val="Paragraphedeliste"/>
        <w:numPr>
          <w:ilvl w:val="0"/>
          <w:numId w:val="8"/>
        </w:numPr>
        <w:jc w:val="both"/>
        <w:rPr>
          <w:sz w:val="24"/>
          <w:szCs w:val="24"/>
        </w:rPr>
      </w:pPr>
      <w:r w:rsidRPr="00F607E0">
        <w:rPr>
          <w:sz w:val="24"/>
          <w:szCs w:val="24"/>
        </w:rPr>
        <w:t> </w:t>
      </w:r>
      <w:r w:rsidR="00624C30" w:rsidRPr="00F607E0">
        <w:rPr>
          <w:sz w:val="24"/>
          <w:szCs w:val="24"/>
        </w:rPr>
        <w:t>L’application d</w:t>
      </w:r>
      <w:r w:rsidR="00D6742C" w:rsidRPr="00F607E0">
        <w:rPr>
          <w:sz w:val="24"/>
          <w:szCs w:val="24"/>
        </w:rPr>
        <w:t>es décisions, d</w:t>
      </w:r>
      <w:r w:rsidR="0011577E" w:rsidRPr="00F607E0">
        <w:rPr>
          <w:sz w:val="24"/>
          <w:szCs w:val="24"/>
        </w:rPr>
        <w:t>es règles et procédures</w:t>
      </w:r>
      <w:r w:rsidR="00D6742C" w:rsidRPr="00F607E0">
        <w:rPr>
          <w:sz w:val="24"/>
          <w:szCs w:val="24"/>
        </w:rPr>
        <w:t xml:space="preserve"> relatives à</w:t>
      </w:r>
      <w:r w:rsidR="0011577E" w:rsidRPr="00F607E0">
        <w:rPr>
          <w:sz w:val="24"/>
          <w:szCs w:val="24"/>
        </w:rPr>
        <w:t xml:space="preserve"> l’accord de Paris (article</w:t>
      </w:r>
      <w:r w:rsidR="007004B4" w:rsidRPr="00F607E0">
        <w:rPr>
          <w:sz w:val="24"/>
          <w:szCs w:val="24"/>
        </w:rPr>
        <w:t xml:space="preserve"> </w:t>
      </w:r>
      <w:r w:rsidR="0011577E" w:rsidRPr="00F607E0">
        <w:rPr>
          <w:sz w:val="24"/>
          <w:szCs w:val="24"/>
        </w:rPr>
        <w:t xml:space="preserve">4), </w:t>
      </w:r>
      <w:r w:rsidR="00230579" w:rsidRPr="00F607E0">
        <w:rPr>
          <w:sz w:val="24"/>
          <w:szCs w:val="24"/>
        </w:rPr>
        <w:t xml:space="preserve">à </w:t>
      </w:r>
      <w:r w:rsidR="0011577E" w:rsidRPr="00F607E0">
        <w:rPr>
          <w:sz w:val="24"/>
          <w:szCs w:val="24"/>
        </w:rPr>
        <w:t>la C</w:t>
      </w:r>
      <w:r w:rsidR="004C6984" w:rsidRPr="00F607E0">
        <w:rPr>
          <w:sz w:val="24"/>
          <w:szCs w:val="24"/>
        </w:rPr>
        <w:t>O</w:t>
      </w:r>
      <w:r w:rsidR="0011577E" w:rsidRPr="00F607E0">
        <w:rPr>
          <w:sz w:val="24"/>
          <w:szCs w:val="24"/>
        </w:rPr>
        <w:t>P</w:t>
      </w:r>
      <w:r w:rsidR="004C6984" w:rsidRPr="00F607E0">
        <w:rPr>
          <w:sz w:val="24"/>
          <w:szCs w:val="24"/>
        </w:rPr>
        <w:t xml:space="preserve"> </w:t>
      </w:r>
      <w:r w:rsidR="0011577E" w:rsidRPr="00F607E0">
        <w:rPr>
          <w:sz w:val="24"/>
          <w:szCs w:val="24"/>
        </w:rPr>
        <w:t>21 et</w:t>
      </w:r>
      <w:r w:rsidR="00230579" w:rsidRPr="00F607E0">
        <w:rPr>
          <w:sz w:val="24"/>
          <w:szCs w:val="24"/>
        </w:rPr>
        <w:t xml:space="preserve"> à</w:t>
      </w:r>
      <w:r w:rsidR="0011577E" w:rsidRPr="00F607E0">
        <w:rPr>
          <w:sz w:val="24"/>
          <w:szCs w:val="24"/>
        </w:rPr>
        <w:t xml:space="preserve"> </w:t>
      </w:r>
      <w:r w:rsidR="004C6984" w:rsidRPr="00F607E0">
        <w:rPr>
          <w:sz w:val="24"/>
          <w:szCs w:val="24"/>
        </w:rPr>
        <w:t xml:space="preserve">la </w:t>
      </w:r>
      <w:r w:rsidR="00D6742C" w:rsidRPr="00F607E0">
        <w:rPr>
          <w:sz w:val="24"/>
          <w:szCs w:val="24"/>
        </w:rPr>
        <w:t>COP 24 (</w:t>
      </w:r>
      <w:proofErr w:type="spellStart"/>
      <w:r w:rsidR="00D6742C" w:rsidRPr="00F607E0">
        <w:rPr>
          <w:sz w:val="24"/>
          <w:szCs w:val="24"/>
        </w:rPr>
        <w:t>rule</w:t>
      </w:r>
      <w:proofErr w:type="spellEnd"/>
      <w:r w:rsidR="00F1043B" w:rsidRPr="00F607E0">
        <w:rPr>
          <w:sz w:val="24"/>
          <w:szCs w:val="24"/>
        </w:rPr>
        <w:t>-</w:t>
      </w:r>
      <w:r w:rsidR="00D6742C" w:rsidRPr="00F607E0">
        <w:rPr>
          <w:sz w:val="24"/>
          <w:szCs w:val="24"/>
        </w:rPr>
        <w:t xml:space="preserve">book) concernant le </w:t>
      </w:r>
      <w:r w:rsidR="002A2BE0" w:rsidRPr="00F607E0">
        <w:rPr>
          <w:sz w:val="24"/>
          <w:szCs w:val="24"/>
        </w:rPr>
        <w:t xml:space="preserve">cycle de la </w:t>
      </w:r>
      <w:r w:rsidR="0000020C" w:rsidRPr="00F607E0">
        <w:rPr>
          <w:sz w:val="24"/>
          <w:szCs w:val="24"/>
        </w:rPr>
        <w:t>CDN</w:t>
      </w:r>
      <w:r w:rsidR="002A2BE0" w:rsidRPr="00F607E0">
        <w:rPr>
          <w:sz w:val="24"/>
          <w:szCs w:val="24"/>
        </w:rPr>
        <w:t xml:space="preserve"> (planification, mise en œuvre et évaluation)</w:t>
      </w:r>
      <w:r w:rsidR="003E50B0" w:rsidRPr="00F607E0">
        <w:rPr>
          <w:sz w:val="24"/>
          <w:szCs w:val="24"/>
        </w:rPr>
        <w:t xml:space="preserve">. Ceci implique entre autres </w:t>
      </w:r>
      <w:r w:rsidR="00E4646A" w:rsidRPr="00F607E0">
        <w:rPr>
          <w:sz w:val="24"/>
          <w:szCs w:val="24"/>
        </w:rPr>
        <w:t xml:space="preserve">un suivi </w:t>
      </w:r>
      <w:r w:rsidR="00890D08" w:rsidRPr="00F607E0">
        <w:rPr>
          <w:sz w:val="24"/>
          <w:szCs w:val="24"/>
        </w:rPr>
        <w:t xml:space="preserve">annuel </w:t>
      </w:r>
      <w:r w:rsidR="00E4646A" w:rsidRPr="00F607E0">
        <w:rPr>
          <w:sz w:val="24"/>
          <w:szCs w:val="24"/>
        </w:rPr>
        <w:t>rigoureux de</w:t>
      </w:r>
      <w:r w:rsidR="00921372" w:rsidRPr="00F607E0">
        <w:rPr>
          <w:sz w:val="24"/>
          <w:szCs w:val="24"/>
        </w:rPr>
        <w:t xml:space="preserve">s objectifs </w:t>
      </w:r>
      <w:r w:rsidR="001879C1" w:rsidRPr="00F607E0">
        <w:rPr>
          <w:sz w:val="24"/>
          <w:szCs w:val="24"/>
        </w:rPr>
        <w:t xml:space="preserve">national et sectoriel de la politique d’atténuation </w:t>
      </w:r>
      <w:r w:rsidR="00921372" w:rsidRPr="00F607E0">
        <w:rPr>
          <w:sz w:val="24"/>
          <w:szCs w:val="24"/>
        </w:rPr>
        <w:t xml:space="preserve">de </w:t>
      </w:r>
      <w:r w:rsidR="00E4646A" w:rsidRPr="00F607E0">
        <w:rPr>
          <w:sz w:val="24"/>
          <w:szCs w:val="24"/>
        </w:rPr>
        <w:t xml:space="preserve">la CDN </w:t>
      </w:r>
      <w:r w:rsidR="00A51FCD">
        <w:rPr>
          <w:sz w:val="24"/>
          <w:szCs w:val="24"/>
        </w:rPr>
        <w:t xml:space="preserve">mise </w:t>
      </w:r>
      <w:proofErr w:type="spellStart"/>
      <w:r w:rsidR="00A51FCD">
        <w:rPr>
          <w:sz w:val="24"/>
          <w:szCs w:val="24"/>
        </w:rPr>
        <w:t>a</w:t>
      </w:r>
      <w:proofErr w:type="spellEnd"/>
      <w:r w:rsidR="00A51FCD">
        <w:rPr>
          <w:sz w:val="24"/>
          <w:szCs w:val="24"/>
        </w:rPr>
        <w:t xml:space="preserve"> jour </w:t>
      </w:r>
      <w:r w:rsidR="001879C1" w:rsidRPr="00F607E0">
        <w:rPr>
          <w:sz w:val="24"/>
          <w:szCs w:val="24"/>
        </w:rPr>
        <w:t>à</w:t>
      </w:r>
      <w:r w:rsidR="00E4646A" w:rsidRPr="00F607E0">
        <w:rPr>
          <w:sz w:val="24"/>
          <w:szCs w:val="24"/>
        </w:rPr>
        <w:t xml:space="preserve"> travers </w:t>
      </w:r>
      <w:r w:rsidR="00237F83" w:rsidRPr="00F607E0">
        <w:rPr>
          <w:sz w:val="24"/>
          <w:szCs w:val="24"/>
        </w:rPr>
        <w:t>des indicateurs</w:t>
      </w:r>
      <w:r w:rsidR="001879C1" w:rsidRPr="00F607E0">
        <w:rPr>
          <w:sz w:val="24"/>
          <w:szCs w:val="24"/>
        </w:rPr>
        <w:t xml:space="preserve"> précis</w:t>
      </w:r>
      <w:r w:rsidR="00237F83" w:rsidRPr="00F607E0">
        <w:rPr>
          <w:sz w:val="24"/>
          <w:szCs w:val="24"/>
        </w:rPr>
        <w:t>.</w:t>
      </w:r>
      <w:r w:rsidR="00F607E0">
        <w:rPr>
          <w:sz w:val="24"/>
          <w:szCs w:val="24"/>
        </w:rPr>
        <w:t xml:space="preserve"> </w:t>
      </w:r>
      <w:r w:rsidR="00237F83" w:rsidRPr="008573E2">
        <w:rPr>
          <w:sz w:val="24"/>
          <w:szCs w:val="24"/>
        </w:rPr>
        <w:t>Le prestataire est appelé à proposer deux catégories d’indicateurs de suivi de la CDN :</w:t>
      </w:r>
    </w:p>
    <w:p w14:paraId="17AA8779" w14:textId="77777777" w:rsidR="00237F83" w:rsidRPr="008573E2" w:rsidRDefault="00237F83" w:rsidP="00BD456A">
      <w:pPr>
        <w:pStyle w:val="Paragraphedeliste"/>
        <w:numPr>
          <w:ilvl w:val="0"/>
          <w:numId w:val="19"/>
        </w:numPr>
        <w:ind w:left="2268"/>
        <w:jc w:val="both"/>
        <w:rPr>
          <w:sz w:val="24"/>
          <w:szCs w:val="24"/>
        </w:rPr>
      </w:pPr>
      <w:r w:rsidRPr="008573E2">
        <w:rPr>
          <w:sz w:val="24"/>
          <w:szCs w:val="24"/>
        </w:rPr>
        <w:t>Les indicateurs agrégés au niveau national permettant de suivre l’objectif de la CDN et les impacts de la politique d’atténuation sur l’ensemble des dimensions du développement durable ;</w:t>
      </w:r>
    </w:p>
    <w:p w14:paraId="041BDCD7" w14:textId="77777777" w:rsidR="00237F83" w:rsidRPr="008573E2" w:rsidRDefault="00237F83" w:rsidP="00BD456A">
      <w:pPr>
        <w:pStyle w:val="Paragraphedeliste"/>
        <w:numPr>
          <w:ilvl w:val="0"/>
          <w:numId w:val="19"/>
        </w:numPr>
        <w:ind w:left="2268"/>
        <w:jc w:val="both"/>
        <w:rPr>
          <w:sz w:val="24"/>
          <w:szCs w:val="24"/>
        </w:rPr>
      </w:pPr>
      <w:r w:rsidRPr="008573E2">
        <w:rPr>
          <w:sz w:val="24"/>
          <w:szCs w:val="24"/>
        </w:rPr>
        <w:t>Les indicateurs spécifiques permettant de suivre l’objectif d’atténuation de chaque secteur et les impacts de la politique d’atténuation sectorielle.</w:t>
      </w:r>
    </w:p>
    <w:p w14:paraId="3BF3DA34" w14:textId="77777777" w:rsidR="00237F83" w:rsidRPr="008573E2" w:rsidRDefault="00237F83" w:rsidP="00BD456A">
      <w:pPr>
        <w:pStyle w:val="Paragraphedeliste"/>
        <w:numPr>
          <w:ilvl w:val="0"/>
          <w:numId w:val="19"/>
        </w:numPr>
        <w:ind w:left="2268"/>
        <w:jc w:val="both"/>
        <w:rPr>
          <w:sz w:val="24"/>
          <w:szCs w:val="24"/>
        </w:rPr>
      </w:pPr>
      <w:r w:rsidRPr="008573E2">
        <w:rPr>
          <w:sz w:val="24"/>
          <w:szCs w:val="24"/>
        </w:rPr>
        <w:t xml:space="preserve">Le bureau d’études aura à apporter une analyse spécifique sur l’amélioration de l’intégration d’indicateurs socio-économiques, y compris indicateurs en lien avec le genre afin d’assurer un suivi de l’impact socio-économique de la CDN. </w:t>
      </w:r>
    </w:p>
    <w:p w14:paraId="177221F5" w14:textId="032BCF3D" w:rsidR="00291A36" w:rsidRDefault="00D6742C" w:rsidP="00BD456A">
      <w:pPr>
        <w:pStyle w:val="Paragraphedeliste"/>
        <w:numPr>
          <w:ilvl w:val="0"/>
          <w:numId w:val="8"/>
        </w:numPr>
        <w:jc w:val="both"/>
        <w:rPr>
          <w:sz w:val="24"/>
          <w:szCs w:val="24"/>
        </w:rPr>
      </w:pPr>
      <w:r w:rsidRPr="008573E2">
        <w:rPr>
          <w:sz w:val="24"/>
          <w:szCs w:val="24"/>
        </w:rPr>
        <w:t> </w:t>
      </w:r>
      <w:r w:rsidR="00291A36" w:rsidRPr="008573E2">
        <w:rPr>
          <w:sz w:val="24"/>
          <w:szCs w:val="24"/>
        </w:rPr>
        <w:t>Renforcer la cohérence et l’articulation entre la politique publique de développement socioéconomique et la politique climatique en matière d’atténuation</w:t>
      </w:r>
      <w:r w:rsidR="00945E43">
        <w:rPr>
          <w:sz w:val="24"/>
          <w:szCs w:val="24"/>
        </w:rPr>
        <w:t> ;</w:t>
      </w:r>
    </w:p>
    <w:p w14:paraId="42B9FC66" w14:textId="20B120C7" w:rsidR="00945E43" w:rsidRPr="00364108" w:rsidRDefault="00945E43" w:rsidP="00BD456A">
      <w:pPr>
        <w:pStyle w:val="Paragraphedeliste"/>
        <w:numPr>
          <w:ilvl w:val="0"/>
          <w:numId w:val="8"/>
        </w:numPr>
        <w:jc w:val="both"/>
        <w:rPr>
          <w:sz w:val="24"/>
          <w:szCs w:val="24"/>
        </w:rPr>
      </w:pPr>
      <w:r w:rsidRPr="00364108">
        <w:rPr>
          <w:sz w:val="24"/>
          <w:szCs w:val="24"/>
        </w:rPr>
        <w:t>Le prestataire est appelé à rédiger la composante atténuation de la CDN actualisée.</w:t>
      </w:r>
    </w:p>
    <w:p w14:paraId="5B6F1D12" w14:textId="77777777" w:rsidR="0004377A" w:rsidRPr="00402727" w:rsidRDefault="0004377A" w:rsidP="0004377A">
      <w:pPr>
        <w:jc w:val="both"/>
        <w:rPr>
          <w:sz w:val="24"/>
          <w:szCs w:val="24"/>
        </w:rPr>
      </w:pPr>
      <w:r w:rsidRPr="00402727">
        <w:rPr>
          <w:sz w:val="24"/>
          <w:szCs w:val="24"/>
        </w:rPr>
        <w:t>Durant l’</w:t>
      </w:r>
      <w:r w:rsidRPr="006448F0">
        <w:rPr>
          <w:sz w:val="24"/>
          <w:szCs w:val="24"/>
        </w:rPr>
        <w:t xml:space="preserve">exercice de mise à jour du volet atténuation, </w:t>
      </w:r>
      <w:r w:rsidRPr="00402727">
        <w:rPr>
          <w:sz w:val="24"/>
          <w:szCs w:val="24"/>
        </w:rPr>
        <w:t xml:space="preserve">une attention particulière sera donnée à </w:t>
      </w:r>
      <w:r w:rsidRPr="005F4500">
        <w:rPr>
          <w:b/>
          <w:bCs/>
          <w:sz w:val="24"/>
          <w:szCs w:val="24"/>
        </w:rPr>
        <w:t>une analyse genre</w:t>
      </w:r>
      <w:r w:rsidRPr="00402727">
        <w:rPr>
          <w:sz w:val="24"/>
          <w:szCs w:val="24"/>
        </w:rPr>
        <w:t xml:space="preserve"> et ce en réponse à </w:t>
      </w:r>
      <w:r w:rsidRPr="006448F0">
        <w:rPr>
          <w:sz w:val="24"/>
          <w:szCs w:val="24"/>
        </w:rPr>
        <w:t>l’évo</w:t>
      </w:r>
      <w:r w:rsidRPr="00900474">
        <w:rPr>
          <w:sz w:val="24"/>
          <w:szCs w:val="24"/>
        </w:rPr>
        <w:t>lution de l’</w:t>
      </w:r>
      <w:r w:rsidRPr="00402727">
        <w:rPr>
          <w:sz w:val="24"/>
          <w:szCs w:val="24"/>
        </w:rPr>
        <w:t xml:space="preserve">intérêt donné au </w:t>
      </w:r>
      <w:r w:rsidRPr="005F4500">
        <w:rPr>
          <w:b/>
          <w:bCs/>
          <w:sz w:val="24"/>
          <w:szCs w:val="24"/>
        </w:rPr>
        <w:t>lien entre l’égalité genre et l’action climat dans les négociations climat</w:t>
      </w:r>
      <w:r w:rsidRPr="00402727">
        <w:rPr>
          <w:sz w:val="24"/>
          <w:szCs w:val="24"/>
        </w:rPr>
        <w:t xml:space="preserve">, notamment la </w:t>
      </w:r>
      <w:r w:rsidRPr="005F4500">
        <w:rPr>
          <w:b/>
          <w:bCs/>
          <w:sz w:val="24"/>
          <w:szCs w:val="24"/>
        </w:rPr>
        <w:t>Décision 18 / CP.20</w:t>
      </w:r>
      <w:r w:rsidRPr="00402727">
        <w:rPr>
          <w:sz w:val="24"/>
          <w:szCs w:val="24"/>
        </w:rPr>
        <w:t xml:space="preserve"> qui souligne l'objectif des Parties à développer et de mettre en œuvre une politique climat sensible au genre</w:t>
      </w:r>
      <w:r>
        <w:rPr>
          <w:sz w:val="24"/>
          <w:szCs w:val="24"/>
        </w:rPr>
        <w:t>. M</w:t>
      </w:r>
      <w:r w:rsidRPr="00402727">
        <w:rPr>
          <w:sz w:val="24"/>
          <w:szCs w:val="24"/>
        </w:rPr>
        <w:t xml:space="preserve">ais </w:t>
      </w:r>
      <w:r>
        <w:rPr>
          <w:sz w:val="24"/>
          <w:szCs w:val="24"/>
        </w:rPr>
        <w:t>également</w:t>
      </w:r>
      <w:r w:rsidRPr="00402727">
        <w:rPr>
          <w:sz w:val="24"/>
          <w:szCs w:val="24"/>
        </w:rPr>
        <w:t xml:space="preserve"> le programme de travail de Lima sur le genre approuvé par les Parties pour améliorer la mise en œuvre de leurs décisions antérieures visant à promouvoir </w:t>
      </w:r>
      <w:r>
        <w:rPr>
          <w:sz w:val="24"/>
          <w:szCs w:val="24"/>
        </w:rPr>
        <w:t xml:space="preserve">l’égalité genre et considérer ce thème crucial dans </w:t>
      </w:r>
      <w:r w:rsidRPr="00402727">
        <w:rPr>
          <w:sz w:val="24"/>
          <w:szCs w:val="24"/>
        </w:rPr>
        <w:t>le travail des Parties et du secrétariat dans la mise en œuvre de la Convention et de l'Accord de Paris.</w:t>
      </w:r>
    </w:p>
    <w:p w14:paraId="50BB2676" w14:textId="300066BE" w:rsidR="0004377A" w:rsidRDefault="0004377A" w:rsidP="0004377A">
      <w:pPr>
        <w:jc w:val="both"/>
        <w:rPr>
          <w:sz w:val="24"/>
          <w:szCs w:val="24"/>
        </w:rPr>
      </w:pPr>
      <w:r>
        <w:rPr>
          <w:sz w:val="24"/>
          <w:szCs w:val="24"/>
        </w:rPr>
        <w:t xml:space="preserve">Cette </w:t>
      </w:r>
      <w:r w:rsidRPr="00CA7B1F">
        <w:rPr>
          <w:sz w:val="24"/>
          <w:szCs w:val="24"/>
        </w:rPr>
        <w:t>analyse permettra</w:t>
      </w:r>
      <w:r>
        <w:rPr>
          <w:sz w:val="24"/>
          <w:szCs w:val="24"/>
        </w:rPr>
        <w:t xml:space="preserve"> de </w:t>
      </w:r>
      <w:r w:rsidRPr="00402727">
        <w:rPr>
          <w:sz w:val="24"/>
          <w:szCs w:val="24"/>
        </w:rPr>
        <w:t xml:space="preserve">renforcer l’inclusivité de la CDN </w:t>
      </w:r>
      <w:r w:rsidR="00EF6637">
        <w:rPr>
          <w:sz w:val="24"/>
          <w:szCs w:val="24"/>
        </w:rPr>
        <w:t xml:space="preserve">mise </w:t>
      </w:r>
      <w:proofErr w:type="spellStart"/>
      <w:r w:rsidR="00EF6637">
        <w:rPr>
          <w:sz w:val="24"/>
          <w:szCs w:val="24"/>
        </w:rPr>
        <w:t>a</w:t>
      </w:r>
      <w:proofErr w:type="spellEnd"/>
      <w:r w:rsidR="00EF6637">
        <w:rPr>
          <w:sz w:val="24"/>
          <w:szCs w:val="24"/>
        </w:rPr>
        <w:t xml:space="preserve"> jour </w:t>
      </w:r>
      <w:r>
        <w:rPr>
          <w:sz w:val="24"/>
          <w:szCs w:val="24"/>
        </w:rPr>
        <w:t>à travers des orientations en lien avec :</w:t>
      </w:r>
    </w:p>
    <w:p w14:paraId="36BF5E6D" w14:textId="77777777" w:rsidR="0004377A" w:rsidRPr="00632795" w:rsidRDefault="0004377A" w:rsidP="00BD456A">
      <w:pPr>
        <w:pStyle w:val="Paragraphedeliste"/>
        <w:numPr>
          <w:ilvl w:val="1"/>
          <w:numId w:val="9"/>
        </w:numPr>
        <w:ind w:left="567"/>
        <w:jc w:val="both"/>
        <w:rPr>
          <w:sz w:val="24"/>
          <w:szCs w:val="24"/>
        </w:rPr>
      </w:pPr>
      <w:r>
        <w:rPr>
          <w:sz w:val="24"/>
          <w:szCs w:val="24"/>
        </w:rPr>
        <w:t>L’a</w:t>
      </w:r>
      <w:r w:rsidRPr="00632795">
        <w:rPr>
          <w:sz w:val="24"/>
          <w:szCs w:val="24"/>
        </w:rPr>
        <w:t>lignement des politiques</w:t>
      </w:r>
      <w:r>
        <w:rPr>
          <w:sz w:val="24"/>
          <w:szCs w:val="24"/>
        </w:rPr>
        <w:t> ;</w:t>
      </w:r>
    </w:p>
    <w:p w14:paraId="6696421A" w14:textId="77777777" w:rsidR="0004377A" w:rsidRPr="00632795" w:rsidRDefault="0004377A" w:rsidP="00BD456A">
      <w:pPr>
        <w:pStyle w:val="Paragraphedeliste"/>
        <w:numPr>
          <w:ilvl w:val="1"/>
          <w:numId w:val="9"/>
        </w:numPr>
        <w:ind w:left="567"/>
        <w:jc w:val="both"/>
        <w:rPr>
          <w:sz w:val="24"/>
          <w:szCs w:val="24"/>
        </w:rPr>
      </w:pPr>
      <w:r>
        <w:rPr>
          <w:sz w:val="24"/>
          <w:szCs w:val="24"/>
        </w:rPr>
        <w:t>La c</w:t>
      </w:r>
      <w:r w:rsidRPr="00632795">
        <w:rPr>
          <w:sz w:val="24"/>
          <w:szCs w:val="24"/>
        </w:rPr>
        <w:t>oordination institutionnelle</w:t>
      </w:r>
      <w:r>
        <w:rPr>
          <w:sz w:val="24"/>
          <w:szCs w:val="24"/>
        </w:rPr>
        <w:t> ;</w:t>
      </w:r>
    </w:p>
    <w:p w14:paraId="2D72DCBA" w14:textId="77777777" w:rsidR="0004377A" w:rsidRDefault="0004377A" w:rsidP="00BD456A">
      <w:pPr>
        <w:pStyle w:val="Paragraphedeliste"/>
        <w:numPr>
          <w:ilvl w:val="1"/>
          <w:numId w:val="9"/>
        </w:numPr>
        <w:ind w:left="567"/>
        <w:jc w:val="both"/>
        <w:rPr>
          <w:sz w:val="24"/>
          <w:szCs w:val="24"/>
        </w:rPr>
      </w:pPr>
      <w:r>
        <w:rPr>
          <w:sz w:val="24"/>
          <w:szCs w:val="24"/>
        </w:rPr>
        <w:t>Le r</w:t>
      </w:r>
      <w:r w:rsidRPr="00632795">
        <w:rPr>
          <w:sz w:val="24"/>
          <w:szCs w:val="24"/>
        </w:rPr>
        <w:t>enforcement des capacités</w:t>
      </w:r>
      <w:r>
        <w:rPr>
          <w:sz w:val="24"/>
          <w:szCs w:val="24"/>
        </w:rPr>
        <w:t> ;</w:t>
      </w:r>
    </w:p>
    <w:p w14:paraId="2A8A9A06" w14:textId="77777777" w:rsidR="0004377A" w:rsidRPr="00632795" w:rsidRDefault="0004377A" w:rsidP="00BD456A">
      <w:pPr>
        <w:pStyle w:val="Paragraphedeliste"/>
        <w:numPr>
          <w:ilvl w:val="1"/>
          <w:numId w:val="9"/>
        </w:numPr>
        <w:ind w:left="567"/>
        <w:jc w:val="both"/>
        <w:rPr>
          <w:sz w:val="24"/>
          <w:szCs w:val="24"/>
        </w:rPr>
      </w:pPr>
      <w:r>
        <w:rPr>
          <w:sz w:val="24"/>
          <w:szCs w:val="24"/>
        </w:rPr>
        <w:t>Les d</w:t>
      </w:r>
      <w:r w:rsidRPr="00632795">
        <w:rPr>
          <w:sz w:val="24"/>
          <w:szCs w:val="24"/>
        </w:rPr>
        <w:t>onnées ventilées par sexe et informations sur le genre</w:t>
      </w:r>
      <w:r>
        <w:rPr>
          <w:sz w:val="24"/>
          <w:szCs w:val="24"/>
        </w:rPr>
        <w:t xml:space="preserve"> par secteur ;</w:t>
      </w:r>
    </w:p>
    <w:p w14:paraId="155711F0" w14:textId="3823D31F" w:rsidR="0004377A" w:rsidRDefault="0004377A" w:rsidP="00BD456A">
      <w:pPr>
        <w:pStyle w:val="Paragraphedeliste"/>
        <w:numPr>
          <w:ilvl w:val="1"/>
          <w:numId w:val="9"/>
        </w:numPr>
        <w:ind w:left="567"/>
        <w:jc w:val="both"/>
        <w:rPr>
          <w:sz w:val="24"/>
          <w:szCs w:val="24"/>
        </w:rPr>
      </w:pPr>
      <w:r>
        <w:rPr>
          <w:sz w:val="24"/>
          <w:szCs w:val="24"/>
        </w:rPr>
        <w:t>Les</w:t>
      </w:r>
      <w:r w:rsidRPr="00632795">
        <w:rPr>
          <w:sz w:val="24"/>
          <w:szCs w:val="24"/>
        </w:rPr>
        <w:t xml:space="preserve"> ressources financières dédiées</w:t>
      </w:r>
      <w:r>
        <w:rPr>
          <w:sz w:val="24"/>
          <w:szCs w:val="24"/>
        </w:rPr>
        <w:t>.</w:t>
      </w:r>
    </w:p>
    <w:p w14:paraId="51672281" w14:textId="60FA6288" w:rsidR="003B7D75" w:rsidRDefault="003B7D75" w:rsidP="003B7D75">
      <w:pPr>
        <w:jc w:val="both"/>
        <w:rPr>
          <w:sz w:val="24"/>
          <w:szCs w:val="24"/>
        </w:rPr>
      </w:pPr>
    </w:p>
    <w:p w14:paraId="00A2D9F8" w14:textId="0290BB6A" w:rsidR="001268D3" w:rsidRDefault="001268D3" w:rsidP="003B7D75">
      <w:pPr>
        <w:jc w:val="both"/>
        <w:rPr>
          <w:sz w:val="24"/>
          <w:szCs w:val="24"/>
        </w:rPr>
      </w:pPr>
    </w:p>
    <w:p w14:paraId="05728D75" w14:textId="77777777" w:rsidR="001268D3" w:rsidRDefault="001268D3" w:rsidP="003B7D75">
      <w:pPr>
        <w:jc w:val="both"/>
        <w:rPr>
          <w:sz w:val="24"/>
          <w:szCs w:val="24"/>
        </w:rPr>
      </w:pPr>
    </w:p>
    <w:p w14:paraId="7A19DAD5" w14:textId="2C63398F" w:rsidR="000132D5" w:rsidRDefault="0049573A" w:rsidP="00BD456A">
      <w:pPr>
        <w:pStyle w:val="Paragraphedeliste"/>
        <w:numPr>
          <w:ilvl w:val="1"/>
          <w:numId w:val="17"/>
        </w:numPr>
        <w:jc w:val="both"/>
        <w:rPr>
          <w:b/>
          <w:bCs/>
          <w:sz w:val="24"/>
          <w:szCs w:val="24"/>
        </w:rPr>
      </w:pPr>
      <w:r>
        <w:rPr>
          <w:b/>
          <w:bCs/>
          <w:sz w:val="24"/>
          <w:szCs w:val="24"/>
        </w:rPr>
        <w:t>Renforcement</w:t>
      </w:r>
      <w:r w:rsidR="000132D5">
        <w:rPr>
          <w:b/>
          <w:bCs/>
          <w:sz w:val="24"/>
          <w:szCs w:val="24"/>
        </w:rPr>
        <w:t xml:space="preserve"> des capacités </w:t>
      </w:r>
      <w:r w:rsidR="009D33EF">
        <w:rPr>
          <w:b/>
          <w:bCs/>
          <w:sz w:val="24"/>
          <w:szCs w:val="24"/>
        </w:rPr>
        <w:t>pour la mise en œuvre de la CDN ;</w:t>
      </w:r>
    </w:p>
    <w:p w14:paraId="4C5901A8" w14:textId="3273BBE8" w:rsidR="00A0379C" w:rsidRDefault="00040E54" w:rsidP="00D24824">
      <w:pPr>
        <w:jc w:val="both"/>
        <w:rPr>
          <w:sz w:val="24"/>
          <w:szCs w:val="24"/>
        </w:rPr>
      </w:pPr>
      <w:r>
        <w:rPr>
          <w:sz w:val="24"/>
          <w:szCs w:val="24"/>
        </w:rPr>
        <w:t xml:space="preserve">Le processus de mise </w:t>
      </w:r>
      <w:r w:rsidR="00A0379C">
        <w:rPr>
          <w:sz w:val="24"/>
          <w:szCs w:val="24"/>
        </w:rPr>
        <w:t>à</w:t>
      </w:r>
      <w:r>
        <w:rPr>
          <w:sz w:val="24"/>
          <w:szCs w:val="24"/>
        </w:rPr>
        <w:t xml:space="preserve"> jour de la CDN est une </w:t>
      </w:r>
      <w:r w:rsidR="003E6DD3">
        <w:rPr>
          <w:sz w:val="24"/>
          <w:szCs w:val="24"/>
        </w:rPr>
        <w:t>opportunité</w:t>
      </w:r>
      <w:r w:rsidR="0010513A">
        <w:rPr>
          <w:sz w:val="24"/>
          <w:szCs w:val="24"/>
        </w:rPr>
        <w:t xml:space="preserve"> </w:t>
      </w:r>
      <w:r w:rsidR="004D1C24">
        <w:rPr>
          <w:sz w:val="24"/>
          <w:szCs w:val="24"/>
        </w:rPr>
        <w:t xml:space="preserve">pour </w:t>
      </w:r>
      <w:r w:rsidR="000C7EA1">
        <w:rPr>
          <w:sz w:val="24"/>
          <w:szCs w:val="24"/>
        </w:rPr>
        <w:t>renforcer</w:t>
      </w:r>
      <w:r w:rsidR="0010513A">
        <w:rPr>
          <w:sz w:val="24"/>
          <w:szCs w:val="24"/>
        </w:rPr>
        <w:t xml:space="preserve"> les capacités nationale</w:t>
      </w:r>
      <w:r w:rsidR="001A2DE8">
        <w:rPr>
          <w:sz w:val="24"/>
          <w:szCs w:val="24"/>
        </w:rPr>
        <w:t>s</w:t>
      </w:r>
      <w:r w:rsidR="0010513A">
        <w:rPr>
          <w:sz w:val="24"/>
          <w:szCs w:val="24"/>
        </w:rPr>
        <w:t xml:space="preserve"> en </w:t>
      </w:r>
      <w:r w:rsidR="00A0379C">
        <w:rPr>
          <w:sz w:val="24"/>
          <w:szCs w:val="24"/>
        </w:rPr>
        <w:t>matière</w:t>
      </w:r>
      <w:r w:rsidR="0010513A">
        <w:rPr>
          <w:sz w:val="24"/>
          <w:szCs w:val="24"/>
        </w:rPr>
        <w:t xml:space="preserve"> de mise en œuvre de l’Accord de Paris et préparer les étapes </w:t>
      </w:r>
      <w:r w:rsidR="001A2DE8">
        <w:rPr>
          <w:sz w:val="24"/>
          <w:szCs w:val="24"/>
        </w:rPr>
        <w:t>à</w:t>
      </w:r>
      <w:r w:rsidR="0010513A">
        <w:rPr>
          <w:sz w:val="24"/>
          <w:szCs w:val="24"/>
        </w:rPr>
        <w:t xml:space="preserve"> venir de </w:t>
      </w:r>
      <w:r w:rsidR="00D91C77">
        <w:rPr>
          <w:sz w:val="24"/>
          <w:szCs w:val="24"/>
        </w:rPr>
        <w:t>s</w:t>
      </w:r>
      <w:r w:rsidR="0010513A">
        <w:rPr>
          <w:sz w:val="24"/>
          <w:szCs w:val="24"/>
        </w:rPr>
        <w:t xml:space="preserve">a </w:t>
      </w:r>
      <w:r w:rsidR="00A0379C">
        <w:rPr>
          <w:sz w:val="24"/>
          <w:szCs w:val="24"/>
        </w:rPr>
        <w:t xml:space="preserve">mise en œuvre sur les cinq prochaines années. </w:t>
      </w:r>
    </w:p>
    <w:p w14:paraId="1D2E794F" w14:textId="3160191F" w:rsidR="001A2DE8" w:rsidRDefault="00A0379C" w:rsidP="00D24824">
      <w:pPr>
        <w:jc w:val="both"/>
        <w:rPr>
          <w:sz w:val="24"/>
          <w:szCs w:val="24"/>
        </w:rPr>
      </w:pPr>
      <w:r>
        <w:rPr>
          <w:sz w:val="24"/>
          <w:szCs w:val="24"/>
        </w:rPr>
        <w:t>Dans ce cadre l</w:t>
      </w:r>
      <w:r w:rsidR="002A1967" w:rsidRPr="005F4500">
        <w:rPr>
          <w:sz w:val="24"/>
          <w:szCs w:val="24"/>
        </w:rPr>
        <w:t>e prestataire de service</w:t>
      </w:r>
      <w:r w:rsidR="0081127B">
        <w:rPr>
          <w:sz w:val="24"/>
          <w:szCs w:val="24"/>
        </w:rPr>
        <w:t xml:space="preserve"> </w:t>
      </w:r>
      <w:r>
        <w:rPr>
          <w:sz w:val="24"/>
          <w:szCs w:val="24"/>
        </w:rPr>
        <w:t xml:space="preserve">est </w:t>
      </w:r>
      <w:r w:rsidR="00C567FA">
        <w:rPr>
          <w:sz w:val="24"/>
          <w:szCs w:val="24"/>
        </w:rPr>
        <w:t>appelé</w:t>
      </w:r>
      <w:r>
        <w:rPr>
          <w:sz w:val="24"/>
          <w:szCs w:val="24"/>
        </w:rPr>
        <w:t xml:space="preserve"> </w:t>
      </w:r>
      <w:r w:rsidR="009D33EF">
        <w:rPr>
          <w:sz w:val="24"/>
          <w:szCs w:val="24"/>
        </w:rPr>
        <w:t>à</w:t>
      </w:r>
      <w:r>
        <w:rPr>
          <w:sz w:val="24"/>
          <w:szCs w:val="24"/>
        </w:rPr>
        <w:t xml:space="preserve"> assurer le</w:t>
      </w:r>
      <w:r w:rsidR="00457DD0">
        <w:rPr>
          <w:sz w:val="24"/>
          <w:szCs w:val="24"/>
        </w:rPr>
        <w:t>s travaux</w:t>
      </w:r>
      <w:r>
        <w:rPr>
          <w:sz w:val="24"/>
          <w:szCs w:val="24"/>
        </w:rPr>
        <w:t xml:space="preserve"> suivant</w:t>
      </w:r>
      <w:r w:rsidR="00457DD0">
        <w:rPr>
          <w:sz w:val="24"/>
          <w:szCs w:val="24"/>
        </w:rPr>
        <w:t>s</w:t>
      </w:r>
      <w:r>
        <w:rPr>
          <w:sz w:val="24"/>
          <w:szCs w:val="24"/>
        </w:rPr>
        <w:t> :</w:t>
      </w:r>
    </w:p>
    <w:p w14:paraId="3C9AF139" w14:textId="1EA74B4A" w:rsidR="000132D5" w:rsidRPr="005F4500" w:rsidRDefault="001A2DE8" w:rsidP="00D24824">
      <w:pPr>
        <w:jc w:val="both"/>
        <w:rPr>
          <w:i/>
          <w:iCs/>
          <w:sz w:val="24"/>
          <w:szCs w:val="24"/>
          <w:u w:val="single"/>
        </w:rPr>
      </w:pPr>
      <w:r w:rsidRPr="005F4500">
        <w:rPr>
          <w:i/>
          <w:iCs/>
          <w:sz w:val="24"/>
          <w:szCs w:val="24"/>
          <w:u w:val="single"/>
        </w:rPr>
        <w:t xml:space="preserve">Elaboration et mise en œuvre d’un programme de renforcement des capacités : </w:t>
      </w:r>
    </w:p>
    <w:p w14:paraId="0BE6474B" w14:textId="50FF5D66" w:rsidR="00A0379C" w:rsidRDefault="008C772F" w:rsidP="00BD456A">
      <w:pPr>
        <w:pStyle w:val="Paragraphedeliste"/>
        <w:numPr>
          <w:ilvl w:val="0"/>
          <w:numId w:val="8"/>
        </w:numPr>
        <w:jc w:val="both"/>
        <w:rPr>
          <w:sz w:val="24"/>
          <w:szCs w:val="24"/>
        </w:rPr>
      </w:pPr>
      <w:r>
        <w:rPr>
          <w:sz w:val="24"/>
          <w:szCs w:val="24"/>
        </w:rPr>
        <w:t xml:space="preserve">Faire une revue des rapports </w:t>
      </w:r>
      <w:r w:rsidR="000A1C10">
        <w:rPr>
          <w:sz w:val="24"/>
          <w:szCs w:val="24"/>
        </w:rPr>
        <w:t xml:space="preserve">déjà </w:t>
      </w:r>
      <w:r w:rsidR="00C567FA">
        <w:rPr>
          <w:sz w:val="24"/>
          <w:szCs w:val="24"/>
        </w:rPr>
        <w:t xml:space="preserve">existants des besoins en renforcement de </w:t>
      </w:r>
      <w:r w:rsidR="00050296">
        <w:rPr>
          <w:sz w:val="24"/>
          <w:szCs w:val="24"/>
        </w:rPr>
        <w:t>capacité</w:t>
      </w:r>
      <w:r w:rsidR="00C567FA">
        <w:rPr>
          <w:sz w:val="24"/>
          <w:szCs w:val="24"/>
        </w:rPr>
        <w:t xml:space="preserve"> des partenaires nationaux/sectoriels</w:t>
      </w:r>
      <w:r w:rsidR="00DC57E7">
        <w:rPr>
          <w:sz w:val="24"/>
          <w:szCs w:val="24"/>
        </w:rPr>
        <w:t> ;</w:t>
      </w:r>
    </w:p>
    <w:p w14:paraId="03188DDD" w14:textId="3976AD89" w:rsidR="008D7036" w:rsidRDefault="008D7036" w:rsidP="00BD456A">
      <w:pPr>
        <w:pStyle w:val="Paragraphedeliste"/>
        <w:numPr>
          <w:ilvl w:val="0"/>
          <w:numId w:val="8"/>
        </w:numPr>
        <w:jc w:val="both"/>
        <w:rPr>
          <w:sz w:val="24"/>
          <w:szCs w:val="24"/>
        </w:rPr>
      </w:pPr>
      <w:r>
        <w:rPr>
          <w:sz w:val="24"/>
          <w:szCs w:val="24"/>
        </w:rPr>
        <w:t>Evaluer les besoins en renforcement de capacités non pris en compte par les rapports déjà en place</w:t>
      </w:r>
      <w:r w:rsidR="00F94309">
        <w:rPr>
          <w:sz w:val="24"/>
          <w:szCs w:val="24"/>
        </w:rPr>
        <w:t xml:space="preserve"> afin de compléter lesdits besoin</w:t>
      </w:r>
      <w:r w:rsidR="00D0136C">
        <w:rPr>
          <w:sz w:val="24"/>
          <w:szCs w:val="24"/>
        </w:rPr>
        <w:t>s</w:t>
      </w:r>
      <w:r w:rsidR="00F94309">
        <w:rPr>
          <w:sz w:val="24"/>
          <w:szCs w:val="24"/>
        </w:rPr>
        <w:t>.</w:t>
      </w:r>
      <w:r w:rsidR="00853111">
        <w:rPr>
          <w:sz w:val="24"/>
          <w:szCs w:val="24"/>
        </w:rPr>
        <w:t xml:space="preserve"> </w:t>
      </w:r>
      <w:r w:rsidR="007134EB">
        <w:rPr>
          <w:sz w:val="24"/>
          <w:szCs w:val="24"/>
        </w:rPr>
        <w:t xml:space="preserve">Ceci sera </w:t>
      </w:r>
      <w:r w:rsidR="00AE39BD">
        <w:rPr>
          <w:sz w:val="24"/>
          <w:szCs w:val="24"/>
        </w:rPr>
        <w:t>effectué</w:t>
      </w:r>
      <w:r w:rsidR="007134EB">
        <w:rPr>
          <w:sz w:val="24"/>
          <w:szCs w:val="24"/>
        </w:rPr>
        <w:t xml:space="preserve"> </w:t>
      </w:r>
      <w:r w:rsidR="002553A4">
        <w:rPr>
          <w:sz w:val="24"/>
          <w:szCs w:val="24"/>
        </w:rPr>
        <w:t>au début du</w:t>
      </w:r>
      <w:r w:rsidR="007134EB">
        <w:rPr>
          <w:sz w:val="24"/>
          <w:szCs w:val="24"/>
        </w:rPr>
        <w:t xml:space="preserve"> processus de concertation </w:t>
      </w:r>
      <w:r w:rsidR="003022A6">
        <w:rPr>
          <w:sz w:val="24"/>
          <w:szCs w:val="24"/>
        </w:rPr>
        <w:t>pour</w:t>
      </w:r>
      <w:r w:rsidR="00AA4189">
        <w:rPr>
          <w:sz w:val="24"/>
          <w:szCs w:val="24"/>
        </w:rPr>
        <w:t xml:space="preserve"> l’</w:t>
      </w:r>
      <w:r w:rsidR="00395BC7">
        <w:rPr>
          <w:sz w:val="24"/>
          <w:szCs w:val="24"/>
        </w:rPr>
        <w:t>élaboration</w:t>
      </w:r>
      <w:r w:rsidR="00AA4189">
        <w:rPr>
          <w:sz w:val="24"/>
          <w:szCs w:val="24"/>
        </w:rPr>
        <w:t xml:space="preserve"> de l’inventaire national GES et la mise </w:t>
      </w:r>
      <w:r w:rsidR="00457DD0">
        <w:rPr>
          <w:sz w:val="24"/>
          <w:szCs w:val="24"/>
        </w:rPr>
        <w:t xml:space="preserve">à </w:t>
      </w:r>
      <w:r w:rsidR="00AA4189">
        <w:rPr>
          <w:sz w:val="24"/>
          <w:szCs w:val="24"/>
        </w:rPr>
        <w:t xml:space="preserve">jour de la CDN dans le volet </w:t>
      </w:r>
      <w:r w:rsidR="009233B4">
        <w:rPr>
          <w:sz w:val="24"/>
          <w:szCs w:val="24"/>
        </w:rPr>
        <w:t>atténuation</w:t>
      </w:r>
      <w:r w:rsidR="00FA1F71">
        <w:rPr>
          <w:sz w:val="24"/>
          <w:szCs w:val="24"/>
        </w:rPr>
        <w:t xml:space="preserve"> ; </w:t>
      </w:r>
    </w:p>
    <w:p w14:paraId="3E7F2690" w14:textId="1A724F42" w:rsidR="00160606" w:rsidRPr="005F4500" w:rsidRDefault="00160606" w:rsidP="00BD456A">
      <w:pPr>
        <w:pStyle w:val="Paragraphedeliste"/>
        <w:numPr>
          <w:ilvl w:val="0"/>
          <w:numId w:val="8"/>
        </w:numPr>
        <w:jc w:val="both"/>
        <w:rPr>
          <w:sz w:val="24"/>
          <w:szCs w:val="24"/>
        </w:rPr>
      </w:pPr>
      <w:r>
        <w:rPr>
          <w:sz w:val="24"/>
          <w:szCs w:val="24"/>
        </w:rPr>
        <w:t xml:space="preserve">Organiser </w:t>
      </w:r>
      <w:r w:rsidRPr="004F3C59">
        <w:rPr>
          <w:b/>
          <w:bCs/>
          <w:sz w:val="24"/>
          <w:szCs w:val="24"/>
        </w:rPr>
        <w:t xml:space="preserve">au moins 3 cycles de formations </w:t>
      </w:r>
      <w:r w:rsidR="004F3C59" w:rsidRPr="004F3C59">
        <w:rPr>
          <w:b/>
          <w:bCs/>
          <w:sz w:val="24"/>
          <w:szCs w:val="24"/>
        </w:rPr>
        <w:t xml:space="preserve">sur des thèmes </w:t>
      </w:r>
      <w:r w:rsidRPr="004F3C59">
        <w:rPr>
          <w:b/>
          <w:bCs/>
          <w:sz w:val="24"/>
          <w:szCs w:val="24"/>
        </w:rPr>
        <w:t>prioritaires</w:t>
      </w:r>
      <w:r w:rsidR="00271CA2">
        <w:rPr>
          <w:sz w:val="24"/>
          <w:szCs w:val="24"/>
        </w:rPr>
        <w:t xml:space="preserve"> en lien avec</w:t>
      </w:r>
      <w:r w:rsidR="001C1A03">
        <w:rPr>
          <w:sz w:val="24"/>
          <w:szCs w:val="24"/>
        </w:rPr>
        <w:t xml:space="preserve"> l’inventaire </w:t>
      </w:r>
      <w:r w:rsidR="00073068">
        <w:rPr>
          <w:sz w:val="24"/>
          <w:szCs w:val="24"/>
        </w:rPr>
        <w:t>GES, l’Accord</w:t>
      </w:r>
      <w:r w:rsidR="00271CA2">
        <w:rPr>
          <w:sz w:val="24"/>
          <w:szCs w:val="24"/>
        </w:rPr>
        <w:t xml:space="preserve"> de Paris, la CDN,</w:t>
      </w:r>
      <w:r w:rsidR="00457DD0">
        <w:rPr>
          <w:sz w:val="24"/>
          <w:szCs w:val="24"/>
        </w:rPr>
        <w:t xml:space="preserve"> la transparence, </w:t>
      </w:r>
      <w:r w:rsidR="00271CA2">
        <w:rPr>
          <w:sz w:val="24"/>
          <w:szCs w:val="24"/>
        </w:rPr>
        <w:t xml:space="preserve">la finance climat, </w:t>
      </w:r>
      <w:r w:rsidR="00F14147">
        <w:rPr>
          <w:sz w:val="24"/>
          <w:szCs w:val="24"/>
        </w:rPr>
        <w:t xml:space="preserve">les négociations </w:t>
      </w:r>
      <w:r w:rsidR="00457DD0">
        <w:rPr>
          <w:sz w:val="24"/>
          <w:szCs w:val="24"/>
        </w:rPr>
        <w:t xml:space="preserve">sur les </w:t>
      </w:r>
      <w:r w:rsidR="00F14147">
        <w:rPr>
          <w:sz w:val="24"/>
          <w:szCs w:val="24"/>
        </w:rPr>
        <w:t>changement</w:t>
      </w:r>
      <w:r w:rsidR="00457DD0">
        <w:rPr>
          <w:sz w:val="24"/>
          <w:szCs w:val="24"/>
        </w:rPr>
        <w:t>s</w:t>
      </w:r>
      <w:r w:rsidR="00F14147">
        <w:rPr>
          <w:sz w:val="24"/>
          <w:szCs w:val="24"/>
        </w:rPr>
        <w:t xml:space="preserve"> climatique</w:t>
      </w:r>
      <w:r w:rsidR="00457DD0">
        <w:rPr>
          <w:sz w:val="24"/>
          <w:szCs w:val="24"/>
        </w:rPr>
        <w:t>s</w:t>
      </w:r>
      <w:r w:rsidR="00F14147">
        <w:rPr>
          <w:sz w:val="24"/>
          <w:szCs w:val="24"/>
        </w:rPr>
        <w:t xml:space="preserve">, etc. </w:t>
      </w:r>
      <w:r w:rsidR="00415613">
        <w:rPr>
          <w:sz w:val="24"/>
          <w:szCs w:val="24"/>
        </w:rPr>
        <w:t>L’élaboration</w:t>
      </w:r>
      <w:r w:rsidR="00073068">
        <w:rPr>
          <w:sz w:val="24"/>
          <w:szCs w:val="24"/>
        </w:rPr>
        <w:t xml:space="preserve"> des cycles de formation y compris les modules et le ciblage de thèmes sera effectué en étroite collaboration avec l</w:t>
      </w:r>
      <w:r w:rsidR="008810BC">
        <w:rPr>
          <w:sz w:val="24"/>
          <w:szCs w:val="24"/>
        </w:rPr>
        <w:t>es</w:t>
      </w:r>
      <w:r w:rsidR="00073068">
        <w:rPr>
          <w:sz w:val="24"/>
          <w:szCs w:val="24"/>
        </w:rPr>
        <w:t xml:space="preserve"> parties</w:t>
      </w:r>
      <w:r w:rsidR="009903F2">
        <w:rPr>
          <w:sz w:val="24"/>
          <w:szCs w:val="24"/>
        </w:rPr>
        <w:t xml:space="preserve"> </w:t>
      </w:r>
      <w:r w:rsidR="00073068">
        <w:rPr>
          <w:sz w:val="24"/>
          <w:szCs w:val="24"/>
        </w:rPr>
        <w:t>prenantes du processus d</w:t>
      </w:r>
      <w:r w:rsidR="003E1067">
        <w:rPr>
          <w:sz w:val="24"/>
          <w:szCs w:val="24"/>
        </w:rPr>
        <w:t>’</w:t>
      </w:r>
      <w:r w:rsidR="00A221E2">
        <w:rPr>
          <w:sz w:val="24"/>
          <w:szCs w:val="24"/>
        </w:rPr>
        <w:t>élaboration</w:t>
      </w:r>
      <w:r w:rsidR="003E1067">
        <w:rPr>
          <w:sz w:val="24"/>
          <w:szCs w:val="24"/>
        </w:rPr>
        <w:t xml:space="preserve"> de </w:t>
      </w:r>
      <w:r w:rsidR="00A221E2">
        <w:rPr>
          <w:sz w:val="24"/>
          <w:szCs w:val="24"/>
        </w:rPr>
        <w:t>l’inventaire</w:t>
      </w:r>
      <w:r w:rsidR="003E1067">
        <w:rPr>
          <w:sz w:val="24"/>
          <w:szCs w:val="24"/>
        </w:rPr>
        <w:t xml:space="preserve"> national et de la mise </w:t>
      </w:r>
      <w:r w:rsidR="001268D3">
        <w:rPr>
          <w:sz w:val="24"/>
          <w:szCs w:val="24"/>
        </w:rPr>
        <w:t>à</w:t>
      </w:r>
      <w:r w:rsidR="003E1067">
        <w:rPr>
          <w:sz w:val="24"/>
          <w:szCs w:val="24"/>
        </w:rPr>
        <w:t xml:space="preserve"> jour de la CDN volet </w:t>
      </w:r>
      <w:r w:rsidR="00A221E2">
        <w:rPr>
          <w:sz w:val="24"/>
          <w:szCs w:val="24"/>
        </w:rPr>
        <w:t>atténuation</w:t>
      </w:r>
      <w:r w:rsidR="003E1067">
        <w:rPr>
          <w:sz w:val="24"/>
          <w:szCs w:val="24"/>
        </w:rPr>
        <w:t xml:space="preserve">. </w:t>
      </w:r>
    </w:p>
    <w:p w14:paraId="4FFF0219" w14:textId="0E07B4C6" w:rsidR="005321CE" w:rsidRPr="005F4500" w:rsidRDefault="00057C66" w:rsidP="00D24824">
      <w:pPr>
        <w:jc w:val="both"/>
        <w:rPr>
          <w:i/>
          <w:iCs/>
          <w:sz w:val="24"/>
          <w:szCs w:val="24"/>
          <w:u w:val="single"/>
        </w:rPr>
      </w:pPr>
      <w:r>
        <w:rPr>
          <w:i/>
          <w:iCs/>
          <w:sz w:val="24"/>
          <w:szCs w:val="24"/>
          <w:u w:val="single"/>
        </w:rPr>
        <w:t xml:space="preserve">Elaboration d’une </w:t>
      </w:r>
      <w:r w:rsidR="001F677E" w:rsidRPr="005F4500">
        <w:rPr>
          <w:i/>
          <w:iCs/>
          <w:sz w:val="24"/>
          <w:szCs w:val="24"/>
          <w:u w:val="single"/>
        </w:rPr>
        <w:t>Feuille de route de la mise en œuvre de la CDN</w:t>
      </w:r>
      <w:r w:rsidR="00BD207A">
        <w:rPr>
          <w:i/>
          <w:iCs/>
          <w:sz w:val="24"/>
          <w:szCs w:val="24"/>
          <w:u w:val="single"/>
        </w:rPr>
        <w:t xml:space="preserve"> </w:t>
      </w:r>
      <w:r w:rsidR="00827E27">
        <w:rPr>
          <w:i/>
          <w:iCs/>
          <w:sz w:val="24"/>
          <w:szCs w:val="24"/>
          <w:u w:val="single"/>
        </w:rPr>
        <w:t>atténuation</w:t>
      </w:r>
    </w:p>
    <w:p w14:paraId="258315DE" w14:textId="2E574E5A" w:rsidR="001F677E" w:rsidRDefault="00B5799D" w:rsidP="00D24824">
      <w:pPr>
        <w:jc w:val="both"/>
        <w:rPr>
          <w:sz w:val="24"/>
          <w:szCs w:val="24"/>
        </w:rPr>
      </w:pPr>
      <w:r>
        <w:rPr>
          <w:sz w:val="24"/>
          <w:szCs w:val="24"/>
        </w:rPr>
        <w:t>Afin d’assurer un suivi régulier de la mise en œuvre de la CDN</w:t>
      </w:r>
      <w:r w:rsidR="00B2015F">
        <w:rPr>
          <w:sz w:val="24"/>
          <w:szCs w:val="24"/>
        </w:rPr>
        <w:t xml:space="preserve"> mise </w:t>
      </w:r>
      <w:r w:rsidR="00EF6B5E">
        <w:rPr>
          <w:sz w:val="24"/>
          <w:szCs w:val="24"/>
        </w:rPr>
        <w:t>à</w:t>
      </w:r>
      <w:r w:rsidR="00B2015F">
        <w:rPr>
          <w:sz w:val="24"/>
          <w:szCs w:val="24"/>
        </w:rPr>
        <w:t xml:space="preserve"> jour</w:t>
      </w:r>
      <w:r>
        <w:rPr>
          <w:sz w:val="24"/>
          <w:szCs w:val="24"/>
        </w:rPr>
        <w:t xml:space="preserve"> </w:t>
      </w:r>
      <w:r w:rsidR="001B368C">
        <w:rPr>
          <w:sz w:val="24"/>
          <w:szCs w:val="24"/>
        </w:rPr>
        <w:t>à</w:t>
      </w:r>
      <w:r>
        <w:rPr>
          <w:sz w:val="24"/>
          <w:szCs w:val="24"/>
        </w:rPr>
        <w:t xml:space="preserve"> soumettre </w:t>
      </w:r>
      <w:r w:rsidR="007B258C">
        <w:rPr>
          <w:sz w:val="24"/>
          <w:szCs w:val="24"/>
        </w:rPr>
        <w:t>à</w:t>
      </w:r>
      <w:r>
        <w:rPr>
          <w:sz w:val="24"/>
          <w:szCs w:val="24"/>
        </w:rPr>
        <w:t xml:space="preserve"> la CCNUCC en 2021, il est crucial </w:t>
      </w:r>
      <w:r w:rsidR="001B368C">
        <w:rPr>
          <w:sz w:val="24"/>
          <w:szCs w:val="24"/>
        </w:rPr>
        <w:t>que la Guinée Bissau se dote d’</w:t>
      </w:r>
      <w:r>
        <w:rPr>
          <w:sz w:val="24"/>
          <w:szCs w:val="24"/>
        </w:rPr>
        <w:t xml:space="preserve">une feuille de route claire </w:t>
      </w:r>
      <w:r w:rsidR="003B7478">
        <w:rPr>
          <w:sz w:val="24"/>
          <w:szCs w:val="24"/>
        </w:rPr>
        <w:t>tant par</w:t>
      </w:r>
      <w:r w:rsidR="00713991">
        <w:rPr>
          <w:sz w:val="24"/>
          <w:szCs w:val="24"/>
        </w:rPr>
        <w:t xml:space="preserve"> rapport aux</w:t>
      </w:r>
      <w:r w:rsidR="004B5068">
        <w:rPr>
          <w:sz w:val="24"/>
          <w:szCs w:val="24"/>
        </w:rPr>
        <w:t xml:space="preserve"> capacités nécessaires qu</w:t>
      </w:r>
      <w:r w:rsidR="00EB017A">
        <w:rPr>
          <w:sz w:val="24"/>
          <w:szCs w:val="24"/>
        </w:rPr>
        <w:t xml:space="preserve">’au </w:t>
      </w:r>
      <w:r w:rsidR="004B5068">
        <w:rPr>
          <w:sz w:val="24"/>
          <w:szCs w:val="24"/>
        </w:rPr>
        <w:t xml:space="preserve">timeline de mise en œuvre. </w:t>
      </w:r>
    </w:p>
    <w:p w14:paraId="6740F94D" w14:textId="71939BAD" w:rsidR="004B5068" w:rsidRDefault="004B5068" w:rsidP="00D24824">
      <w:pPr>
        <w:jc w:val="both"/>
        <w:rPr>
          <w:sz w:val="24"/>
          <w:szCs w:val="24"/>
        </w:rPr>
      </w:pPr>
      <w:r>
        <w:rPr>
          <w:sz w:val="24"/>
          <w:szCs w:val="24"/>
        </w:rPr>
        <w:t xml:space="preserve">La feuille de route sera un atout qui appuiera la </w:t>
      </w:r>
      <w:r w:rsidR="00E9025D">
        <w:rPr>
          <w:sz w:val="24"/>
          <w:szCs w:val="24"/>
        </w:rPr>
        <w:t>Guinée</w:t>
      </w:r>
      <w:r w:rsidR="00DD6B56">
        <w:rPr>
          <w:sz w:val="24"/>
          <w:szCs w:val="24"/>
        </w:rPr>
        <w:t>-</w:t>
      </w:r>
      <w:r>
        <w:rPr>
          <w:sz w:val="24"/>
          <w:szCs w:val="24"/>
        </w:rPr>
        <w:t xml:space="preserve">Bissau </w:t>
      </w:r>
      <w:r w:rsidR="0027517C">
        <w:rPr>
          <w:sz w:val="24"/>
          <w:szCs w:val="24"/>
        </w:rPr>
        <w:t>à</w:t>
      </w:r>
      <w:r>
        <w:rPr>
          <w:sz w:val="24"/>
          <w:szCs w:val="24"/>
        </w:rPr>
        <w:t xml:space="preserve"> </w:t>
      </w:r>
      <w:r w:rsidR="00531B5E">
        <w:rPr>
          <w:sz w:val="24"/>
          <w:szCs w:val="24"/>
        </w:rPr>
        <w:t xml:space="preserve">se préparer et </w:t>
      </w:r>
      <w:r w:rsidR="00E9025D">
        <w:rPr>
          <w:sz w:val="24"/>
          <w:szCs w:val="24"/>
        </w:rPr>
        <w:t>anticiper</w:t>
      </w:r>
      <w:r w:rsidR="00531B5E">
        <w:rPr>
          <w:sz w:val="24"/>
          <w:szCs w:val="24"/>
        </w:rPr>
        <w:t xml:space="preserve"> sur la mise </w:t>
      </w:r>
      <w:r>
        <w:rPr>
          <w:sz w:val="24"/>
          <w:szCs w:val="24"/>
        </w:rPr>
        <w:t xml:space="preserve">en place </w:t>
      </w:r>
      <w:r w:rsidR="00531B5E">
        <w:rPr>
          <w:sz w:val="24"/>
          <w:szCs w:val="24"/>
        </w:rPr>
        <w:t>d</w:t>
      </w:r>
      <w:r>
        <w:rPr>
          <w:sz w:val="24"/>
          <w:szCs w:val="24"/>
        </w:rPr>
        <w:t>es programmes nécessaires</w:t>
      </w:r>
      <w:r w:rsidR="00AE6DAB">
        <w:rPr>
          <w:sz w:val="24"/>
          <w:szCs w:val="24"/>
        </w:rPr>
        <w:t xml:space="preserve"> </w:t>
      </w:r>
      <w:r>
        <w:rPr>
          <w:sz w:val="24"/>
          <w:szCs w:val="24"/>
        </w:rPr>
        <w:t xml:space="preserve">avec </w:t>
      </w:r>
      <w:r w:rsidR="00531B5E">
        <w:rPr>
          <w:sz w:val="24"/>
          <w:szCs w:val="24"/>
        </w:rPr>
        <w:t xml:space="preserve">les différents acteurs </w:t>
      </w:r>
      <w:r w:rsidR="00E9025D">
        <w:rPr>
          <w:sz w:val="24"/>
          <w:szCs w:val="24"/>
        </w:rPr>
        <w:t>clés</w:t>
      </w:r>
      <w:r w:rsidR="00531B5E">
        <w:rPr>
          <w:sz w:val="24"/>
          <w:szCs w:val="24"/>
        </w:rPr>
        <w:t xml:space="preserve">, y compris les partenaires techniques et </w:t>
      </w:r>
      <w:r w:rsidR="008E4E58">
        <w:rPr>
          <w:sz w:val="24"/>
          <w:szCs w:val="24"/>
        </w:rPr>
        <w:t>financiers</w:t>
      </w:r>
      <w:r w:rsidR="008E4E58" w:rsidRPr="00AE6DAB">
        <w:rPr>
          <w:sz w:val="24"/>
          <w:szCs w:val="24"/>
        </w:rPr>
        <w:t xml:space="preserve"> </w:t>
      </w:r>
      <w:r w:rsidR="008E4E58">
        <w:rPr>
          <w:sz w:val="24"/>
          <w:szCs w:val="24"/>
        </w:rPr>
        <w:t>en</w:t>
      </w:r>
      <w:r w:rsidR="00AE6DAB">
        <w:rPr>
          <w:sz w:val="24"/>
          <w:szCs w:val="24"/>
        </w:rPr>
        <w:t xml:space="preserve"> lien avec l’assistance technique</w:t>
      </w:r>
      <w:r w:rsidR="00531B5E">
        <w:rPr>
          <w:sz w:val="24"/>
          <w:szCs w:val="24"/>
        </w:rPr>
        <w:t xml:space="preserve">. </w:t>
      </w:r>
    </w:p>
    <w:p w14:paraId="1883DD16" w14:textId="4DE103DB" w:rsidR="008E4E58" w:rsidRDefault="00EC1018" w:rsidP="005F4500">
      <w:pPr>
        <w:jc w:val="both"/>
        <w:rPr>
          <w:sz w:val="24"/>
          <w:szCs w:val="24"/>
        </w:rPr>
      </w:pPr>
      <w:r w:rsidRPr="005F4500">
        <w:rPr>
          <w:sz w:val="24"/>
          <w:szCs w:val="24"/>
        </w:rPr>
        <w:t xml:space="preserve">La feuille de route devra </w:t>
      </w:r>
      <w:r w:rsidR="00372024" w:rsidRPr="005F4500">
        <w:rPr>
          <w:sz w:val="24"/>
          <w:szCs w:val="24"/>
        </w:rPr>
        <w:t>refléter</w:t>
      </w:r>
      <w:r w:rsidR="008E4E58" w:rsidRPr="005F4500">
        <w:rPr>
          <w:sz w:val="24"/>
          <w:szCs w:val="24"/>
        </w:rPr>
        <w:t xml:space="preserve"> une démarche pluriannuelle qui repose sur les mesures d’accompagnement à entreprendre pour assurer la mise en œuvre de la CDN (concertation élargie, bonne gouvernance, réformes structurelles, renforcement des capacités, mobilisation des financements, renforcement de la transparence). </w:t>
      </w:r>
    </w:p>
    <w:p w14:paraId="4C5DB74F" w14:textId="67CE6077" w:rsidR="00CA2B71" w:rsidRDefault="00CA2B71" w:rsidP="005F4500">
      <w:pPr>
        <w:jc w:val="both"/>
        <w:rPr>
          <w:sz w:val="24"/>
          <w:szCs w:val="24"/>
        </w:rPr>
      </w:pPr>
      <w:r>
        <w:rPr>
          <w:sz w:val="24"/>
          <w:szCs w:val="24"/>
        </w:rPr>
        <w:t xml:space="preserve">Il est important de noter que la feuille de route devra focaliser sur les améliorations </w:t>
      </w:r>
      <w:proofErr w:type="spellStart"/>
      <w:proofErr w:type="gramStart"/>
      <w:r>
        <w:rPr>
          <w:sz w:val="24"/>
          <w:szCs w:val="24"/>
        </w:rPr>
        <w:t>a</w:t>
      </w:r>
      <w:proofErr w:type="spellEnd"/>
      <w:proofErr w:type="gramEnd"/>
      <w:r>
        <w:rPr>
          <w:sz w:val="24"/>
          <w:szCs w:val="24"/>
        </w:rPr>
        <w:t xml:space="preserve"> faire sur un horizon de cinq and pour accélérer la mise en œuvre de la CDN et faciliter son évaluation en 2024 avant d’entamer la prochaine mise </w:t>
      </w:r>
      <w:proofErr w:type="spellStart"/>
      <w:r>
        <w:rPr>
          <w:sz w:val="24"/>
          <w:szCs w:val="24"/>
        </w:rPr>
        <w:t>a</w:t>
      </w:r>
      <w:proofErr w:type="spellEnd"/>
      <w:r>
        <w:rPr>
          <w:sz w:val="24"/>
          <w:szCs w:val="24"/>
        </w:rPr>
        <w:t xml:space="preserve"> jour pour 2025 ; </w:t>
      </w:r>
    </w:p>
    <w:p w14:paraId="716F00A8" w14:textId="54800AB0" w:rsidR="001F5BFB" w:rsidRPr="00632795" w:rsidRDefault="001F69A1" w:rsidP="00BD456A">
      <w:pPr>
        <w:pStyle w:val="Paragraphedeliste"/>
        <w:numPr>
          <w:ilvl w:val="1"/>
          <w:numId w:val="17"/>
        </w:numPr>
        <w:jc w:val="both"/>
        <w:rPr>
          <w:b/>
          <w:bCs/>
          <w:sz w:val="24"/>
          <w:szCs w:val="24"/>
        </w:rPr>
      </w:pPr>
      <w:r w:rsidRPr="00632795">
        <w:rPr>
          <w:b/>
          <w:bCs/>
          <w:sz w:val="24"/>
          <w:szCs w:val="24"/>
        </w:rPr>
        <w:t xml:space="preserve">Consolidation de la CDN : </w:t>
      </w:r>
    </w:p>
    <w:p w14:paraId="73E87F68" w14:textId="564201BD" w:rsidR="00476EFD" w:rsidRDefault="00476EFD" w:rsidP="000D7BAB">
      <w:pPr>
        <w:jc w:val="both"/>
        <w:rPr>
          <w:sz w:val="24"/>
          <w:szCs w:val="24"/>
        </w:rPr>
      </w:pPr>
      <w:r w:rsidRPr="00632795">
        <w:rPr>
          <w:sz w:val="24"/>
          <w:szCs w:val="24"/>
        </w:rPr>
        <w:t>La consolidation de la CDN reposera sur l’input de la deuxième consultation sur la mise à jour du volet adaptation</w:t>
      </w:r>
      <w:r w:rsidR="003D233C">
        <w:rPr>
          <w:sz w:val="24"/>
          <w:szCs w:val="24"/>
        </w:rPr>
        <w:t>. Le</w:t>
      </w:r>
      <w:r w:rsidRPr="00632795">
        <w:rPr>
          <w:sz w:val="24"/>
          <w:szCs w:val="24"/>
        </w:rPr>
        <w:t xml:space="preserve"> bureau d’études en charge de la mise à jour du volet atténuation aura la tâche d’assurer cette consolidation </w:t>
      </w:r>
      <w:r w:rsidR="00AF070A">
        <w:rPr>
          <w:sz w:val="24"/>
          <w:szCs w:val="24"/>
        </w:rPr>
        <w:t>d</w:t>
      </w:r>
      <w:r w:rsidR="00D16F56">
        <w:rPr>
          <w:sz w:val="24"/>
          <w:szCs w:val="24"/>
        </w:rPr>
        <w:t>u</w:t>
      </w:r>
      <w:r w:rsidR="00AF070A">
        <w:rPr>
          <w:sz w:val="24"/>
          <w:szCs w:val="24"/>
        </w:rPr>
        <w:t xml:space="preserve"> document à soumettre à </w:t>
      </w:r>
      <w:r w:rsidR="0037127A">
        <w:rPr>
          <w:sz w:val="24"/>
          <w:szCs w:val="24"/>
        </w:rPr>
        <w:t>la</w:t>
      </w:r>
      <w:r w:rsidR="00AF070A">
        <w:rPr>
          <w:sz w:val="24"/>
          <w:szCs w:val="24"/>
        </w:rPr>
        <w:t xml:space="preserve"> CCNUCC </w:t>
      </w:r>
      <w:r w:rsidRPr="00632795">
        <w:rPr>
          <w:sz w:val="24"/>
          <w:szCs w:val="24"/>
        </w:rPr>
        <w:t xml:space="preserve">en étroite collaboration avec les experts qui travailleront sur l’adaptation. </w:t>
      </w:r>
    </w:p>
    <w:p w14:paraId="57918FC0" w14:textId="65787D54" w:rsidR="00BA73C9" w:rsidRDefault="00F807B8" w:rsidP="005F4500">
      <w:pPr>
        <w:rPr>
          <w:sz w:val="24"/>
          <w:szCs w:val="24"/>
        </w:rPr>
      </w:pPr>
      <w:r>
        <w:rPr>
          <w:sz w:val="24"/>
          <w:szCs w:val="24"/>
        </w:rPr>
        <w:t>La consolidation aura aussi à intégrer un chapitre sur la synergie possible entre atténuation et adaptation afin de maximiser l’</w:t>
      </w:r>
      <w:r w:rsidR="00CC10B1">
        <w:rPr>
          <w:sz w:val="24"/>
          <w:szCs w:val="24"/>
        </w:rPr>
        <w:t>intérêt</w:t>
      </w:r>
      <w:r>
        <w:rPr>
          <w:sz w:val="24"/>
          <w:szCs w:val="24"/>
        </w:rPr>
        <w:t xml:space="preserve"> d’avoir une CDN à jour qui servira une planification de moyen et long terme.</w:t>
      </w:r>
    </w:p>
    <w:p w14:paraId="184B30E9" w14:textId="287DE24F" w:rsidR="00360425" w:rsidRDefault="00360425" w:rsidP="00360425">
      <w:pPr>
        <w:jc w:val="both"/>
        <w:rPr>
          <w:sz w:val="24"/>
          <w:szCs w:val="24"/>
        </w:rPr>
      </w:pPr>
      <w:r>
        <w:rPr>
          <w:b/>
        </w:rPr>
        <w:t xml:space="preserve">NB : </w:t>
      </w:r>
      <w:r>
        <w:rPr>
          <w:sz w:val="24"/>
          <w:szCs w:val="24"/>
        </w:rPr>
        <w:t xml:space="preserve">Il est </w:t>
      </w:r>
      <w:proofErr w:type="spellStart"/>
      <w:proofErr w:type="gramStart"/>
      <w:r>
        <w:rPr>
          <w:sz w:val="24"/>
          <w:szCs w:val="24"/>
        </w:rPr>
        <w:t>a</w:t>
      </w:r>
      <w:proofErr w:type="spellEnd"/>
      <w:proofErr w:type="gramEnd"/>
      <w:r>
        <w:rPr>
          <w:sz w:val="24"/>
          <w:szCs w:val="24"/>
        </w:rPr>
        <w:t xml:space="preserve"> noter que cette démarche n’est pas </w:t>
      </w:r>
      <w:r w:rsidR="00F06D0C">
        <w:rPr>
          <w:sz w:val="24"/>
          <w:szCs w:val="24"/>
        </w:rPr>
        <w:t>considérée</w:t>
      </w:r>
      <w:r>
        <w:rPr>
          <w:sz w:val="24"/>
          <w:szCs w:val="24"/>
        </w:rPr>
        <w:t xml:space="preserve"> complète et le prestataire de service proposera sa méthodologie qui complètera avec d’autres éléments pertinents. </w:t>
      </w:r>
    </w:p>
    <w:p w14:paraId="5A6CE125" w14:textId="17A0177D" w:rsidR="001268D3" w:rsidRDefault="001268D3" w:rsidP="005F4500">
      <w:pPr>
        <w:rPr>
          <w:b/>
        </w:rPr>
      </w:pPr>
    </w:p>
    <w:p w14:paraId="1481412C" w14:textId="694E4814" w:rsidR="00761B97" w:rsidRPr="009A78FC" w:rsidRDefault="008B2489" w:rsidP="00BD456A">
      <w:pPr>
        <w:pStyle w:val="Paragraphedeliste"/>
        <w:numPr>
          <w:ilvl w:val="0"/>
          <w:numId w:val="17"/>
        </w:numPr>
        <w:jc w:val="both"/>
        <w:rPr>
          <w:b/>
          <w:sz w:val="24"/>
          <w:szCs w:val="24"/>
        </w:rPr>
      </w:pPr>
      <w:r w:rsidRPr="009A78FC">
        <w:rPr>
          <w:b/>
          <w:sz w:val="24"/>
          <w:szCs w:val="24"/>
        </w:rPr>
        <w:t>RESULTATS ATTENDUS</w:t>
      </w:r>
    </w:p>
    <w:p w14:paraId="05B59710" w14:textId="7E1429DC" w:rsidR="008B2489" w:rsidRPr="009A78FC" w:rsidRDefault="008B2489" w:rsidP="009A78FC">
      <w:pPr>
        <w:jc w:val="both"/>
        <w:rPr>
          <w:sz w:val="24"/>
          <w:szCs w:val="24"/>
        </w:rPr>
      </w:pPr>
      <w:r w:rsidRPr="009A78FC">
        <w:rPr>
          <w:sz w:val="24"/>
          <w:szCs w:val="24"/>
        </w:rPr>
        <w:t xml:space="preserve">Les principaux résultats attendus </w:t>
      </w:r>
      <w:r w:rsidR="00107C78" w:rsidRPr="009A78FC">
        <w:rPr>
          <w:sz w:val="24"/>
          <w:szCs w:val="24"/>
        </w:rPr>
        <w:t xml:space="preserve">de la présente mission </w:t>
      </w:r>
      <w:r w:rsidRPr="009A78FC">
        <w:rPr>
          <w:sz w:val="24"/>
          <w:szCs w:val="24"/>
        </w:rPr>
        <w:t>sont :</w:t>
      </w:r>
    </w:p>
    <w:p w14:paraId="003195A4" w14:textId="326AC7EB" w:rsidR="00375EA1" w:rsidRDefault="00CD2A7A" w:rsidP="009A78FC">
      <w:pPr>
        <w:pStyle w:val="Paragraphedeliste"/>
        <w:numPr>
          <w:ilvl w:val="0"/>
          <w:numId w:val="1"/>
        </w:numPr>
        <w:jc w:val="both"/>
        <w:rPr>
          <w:sz w:val="24"/>
          <w:szCs w:val="24"/>
        </w:rPr>
      </w:pPr>
      <w:r w:rsidRPr="009A78FC">
        <w:rPr>
          <w:sz w:val="24"/>
          <w:szCs w:val="24"/>
        </w:rPr>
        <w:t>L</w:t>
      </w:r>
      <w:r>
        <w:rPr>
          <w:sz w:val="24"/>
          <w:szCs w:val="24"/>
        </w:rPr>
        <w:t>a</w:t>
      </w:r>
      <w:r w:rsidRPr="009A78FC">
        <w:rPr>
          <w:sz w:val="24"/>
          <w:szCs w:val="24"/>
        </w:rPr>
        <w:t xml:space="preserve"> CDN de la </w:t>
      </w:r>
      <w:r w:rsidR="007E280D">
        <w:rPr>
          <w:sz w:val="24"/>
          <w:szCs w:val="24"/>
        </w:rPr>
        <w:t>Guinée</w:t>
      </w:r>
      <w:r>
        <w:rPr>
          <w:sz w:val="24"/>
          <w:szCs w:val="24"/>
        </w:rPr>
        <w:t xml:space="preserve"> Bissau</w:t>
      </w:r>
      <w:r w:rsidRPr="009A78FC">
        <w:rPr>
          <w:sz w:val="24"/>
          <w:szCs w:val="24"/>
        </w:rPr>
        <w:t xml:space="preserve"> </w:t>
      </w:r>
      <w:r w:rsidR="00CF60D5">
        <w:rPr>
          <w:sz w:val="24"/>
          <w:szCs w:val="24"/>
        </w:rPr>
        <w:t xml:space="preserve">pour le volet </w:t>
      </w:r>
      <w:r w:rsidR="00DF4E95">
        <w:rPr>
          <w:sz w:val="24"/>
          <w:szCs w:val="24"/>
        </w:rPr>
        <w:t>atténuation</w:t>
      </w:r>
      <w:r w:rsidR="00CF60D5">
        <w:rPr>
          <w:sz w:val="24"/>
          <w:szCs w:val="24"/>
        </w:rPr>
        <w:t xml:space="preserve"> </w:t>
      </w:r>
      <w:r w:rsidRPr="009A78FC">
        <w:rPr>
          <w:sz w:val="24"/>
          <w:szCs w:val="24"/>
        </w:rPr>
        <w:t xml:space="preserve">est mise à jour et </w:t>
      </w:r>
      <w:r w:rsidR="00E008D0">
        <w:rPr>
          <w:sz w:val="24"/>
          <w:szCs w:val="24"/>
        </w:rPr>
        <w:t>incluant ainsi</w:t>
      </w:r>
      <w:r w:rsidR="00375EA1">
        <w:rPr>
          <w:sz w:val="24"/>
          <w:szCs w:val="24"/>
        </w:rPr>
        <w:t xml:space="preserve"> : </w:t>
      </w:r>
    </w:p>
    <w:p w14:paraId="474648C1" w14:textId="6A3D73FA" w:rsidR="00CD2A7A" w:rsidRDefault="00C12C10" w:rsidP="005F4500">
      <w:pPr>
        <w:pStyle w:val="Paragraphedeliste"/>
        <w:numPr>
          <w:ilvl w:val="1"/>
          <w:numId w:val="1"/>
        </w:numPr>
        <w:jc w:val="both"/>
        <w:rPr>
          <w:sz w:val="24"/>
          <w:szCs w:val="24"/>
        </w:rPr>
      </w:pPr>
      <w:r>
        <w:rPr>
          <w:sz w:val="24"/>
          <w:szCs w:val="24"/>
        </w:rPr>
        <w:t>L’objectif</w:t>
      </w:r>
      <w:r w:rsidR="00E008D0">
        <w:rPr>
          <w:sz w:val="24"/>
          <w:szCs w:val="24"/>
        </w:rPr>
        <w:t xml:space="preserve"> </w:t>
      </w:r>
      <w:r w:rsidR="00E008D0" w:rsidRPr="009A78FC">
        <w:rPr>
          <w:sz w:val="24"/>
          <w:szCs w:val="24"/>
        </w:rPr>
        <w:t xml:space="preserve">global </w:t>
      </w:r>
      <w:r w:rsidR="00E008D0">
        <w:rPr>
          <w:sz w:val="24"/>
          <w:szCs w:val="24"/>
        </w:rPr>
        <w:t xml:space="preserve">et les </w:t>
      </w:r>
      <w:r w:rsidR="00E008D0" w:rsidRPr="009A78FC">
        <w:rPr>
          <w:sz w:val="24"/>
          <w:szCs w:val="24"/>
        </w:rPr>
        <w:t xml:space="preserve">objectifs sectoriels </w:t>
      </w:r>
      <w:r w:rsidR="00BD2FD9" w:rsidRPr="009A78FC">
        <w:rPr>
          <w:sz w:val="24"/>
          <w:szCs w:val="24"/>
        </w:rPr>
        <w:t xml:space="preserve">d’atténuation </w:t>
      </w:r>
      <w:r w:rsidR="00BD2FD9">
        <w:rPr>
          <w:sz w:val="24"/>
          <w:szCs w:val="24"/>
        </w:rPr>
        <w:t>pour</w:t>
      </w:r>
      <w:r w:rsidR="00E008D0" w:rsidRPr="009A78FC">
        <w:rPr>
          <w:sz w:val="24"/>
          <w:szCs w:val="24"/>
        </w:rPr>
        <w:t xml:space="preserve"> l</w:t>
      </w:r>
      <w:r w:rsidR="000B5AB9">
        <w:rPr>
          <w:sz w:val="24"/>
          <w:szCs w:val="24"/>
        </w:rPr>
        <w:t>’</w:t>
      </w:r>
      <w:r w:rsidR="00E008D0" w:rsidRPr="0006239B">
        <w:rPr>
          <w:sz w:val="24"/>
          <w:szCs w:val="24"/>
        </w:rPr>
        <w:t>horizon 2030</w:t>
      </w:r>
      <w:r w:rsidR="00E008D0" w:rsidRPr="00E008D0">
        <w:rPr>
          <w:sz w:val="24"/>
          <w:szCs w:val="24"/>
        </w:rPr>
        <w:t xml:space="preserve"> </w:t>
      </w:r>
    </w:p>
    <w:p w14:paraId="3C305C80" w14:textId="75A74946" w:rsidR="00375EA1" w:rsidRPr="009A78FC" w:rsidRDefault="00375EA1" w:rsidP="005F4500">
      <w:pPr>
        <w:pStyle w:val="Paragraphedeliste"/>
        <w:numPr>
          <w:ilvl w:val="1"/>
          <w:numId w:val="1"/>
        </w:numPr>
        <w:jc w:val="both"/>
        <w:rPr>
          <w:sz w:val="24"/>
          <w:szCs w:val="24"/>
        </w:rPr>
      </w:pPr>
      <w:r w:rsidRPr="009A78FC">
        <w:rPr>
          <w:sz w:val="24"/>
          <w:szCs w:val="24"/>
        </w:rPr>
        <w:t>Les coûts d’investissement conditionnel (avec</w:t>
      </w:r>
      <w:r w:rsidR="004D614C">
        <w:rPr>
          <w:sz w:val="24"/>
          <w:szCs w:val="24"/>
        </w:rPr>
        <w:t xml:space="preserve"> </w:t>
      </w:r>
      <w:r w:rsidRPr="009A78FC">
        <w:rPr>
          <w:sz w:val="24"/>
          <w:szCs w:val="24"/>
        </w:rPr>
        <w:t xml:space="preserve">appui international) et inconditionnel (sans appui international) sont </w:t>
      </w:r>
      <w:r w:rsidR="006C6B73" w:rsidRPr="009A78FC">
        <w:rPr>
          <w:sz w:val="24"/>
          <w:szCs w:val="24"/>
        </w:rPr>
        <w:t>estimés au</w:t>
      </w:r>
      <w:r w:rsidRPr="009A78FC">
        <w:rPr>
          <w:sz w:val="24"/>
          <w:szCs w:val="24"/>
        </w:rPr>
        <w:t xml:space="preserve"> niveau national et par </w:t>
      </w:r>
      <w:r w:rsidR="00C114C0" w:rsidRPr="009A78FC">
        <w:rPr>
          <w:sz w:val="24"/>
          <w:szCs w:val="24"/>
        </w:rPr>
        <w:t>secteur</w:t>
      </w:r>
      <w:r w:rsidR="00C114C0">
        <w:rPr>
          <w:sz w:val="24"/>
          <w:szCs w:val="24"/>
        </w:rPr>
        <w:t xml:space="preserve"> prioritaire de la </w:t>
      </w:r>
      <w:r w:rsidR="00FC22A1">
        <w:rPr>
          <w:sz w:val="24"/>
          <w:szCs w:val="24"/>
        </w:rPr>
        <w:t>CDN</w:t>
      </w:r>
      <w:r w:rsidR="0003489B">
        <w:rPr>
          <w:sz w:val="24"/>
          <w:szCs w:val="24"/>
        </w:rPr>
        <w:t>/</w:t>
      </w:r>
      <w:r w:rsidR="00A15637">
        <w:rPr>
          <w:sz w:val="24"/>
          <w:szCs w:val="24"/>
        </w:rPr>
        <w:t>atténuation</w:t>
      </w:r>
      <w:r w:rsidR="00C114C0" w:rsidRPr="009A78FC">
        <w:rPr>
          <w:sz w:val="24"/>
          <w:szCs w:val="24"/>
        </w:rPr>
        <w:t xml:space="preserve"> ;</w:t>
      </w:r>
    </w:p>
    <w:p w14:paraId="10E51B4A" w14:textId="46A1EDF5" w:rsidR="003C59A5" w:rsidRPr="009A78FC" w:rsidRDefault="003C59A5" w:rsidP="005F4500">
      <w:pPr>
        <w:pStyle w:val="Paragraphedeliste"/>
        <w:numPr>
          <w:ilvl w:val="1"/>
          <w:numId w:val="1"/>
        </w:numPr>
        <w:jc w:val="both"/>
        <w:rPr>
          <w:sz w:val="24"/>
          <w:szCs w:val="24"/>
        </w:rPr>
      </w:pPr>
      <w:r w:rsidRPr="009A78FC">
        <w:rPr>
          <w:sz w:val="24"/>
          <w:szCs w:val="24"/>
        </w:rPr>
        <w:t>Les projets prioritaires pour la mise en œuvre de la CDN</w:t>
      </w:r>
      <w:r w:rsidR="00FD70A6">
        <w:rPr>
          <w:sz w:val="24"/>
          <w:szCs w:val="24"/>
        </w:rPr>
        <w:t>/</w:t>
      </w:r>
      <w:r w:rsidR="00FB1B6D">
        <w:rPr>
          <w:sz w:val="24"/>
          <w:szCs w:val="24"/>
        </w:rPr>
        <w:t>atténuation</w:t>
      </w:r>
      <w:r w:rsidRPr="009A78FC">
        <w:rPr>
          <w:sz w:val="24"/>
          <w:szCs w:val="24"/>
        </w:rPr>
        <w:t xml:space="preserve"> par secteur sont identifiés ;</w:t>
      </w:r>
    </w:p>
    <w:p w14:paraId="5C5B5FA3" w14:textId="77777777" w:rsidR="008E3A44" w:rsidRPr="009A78FC" w:rsidRDefault="008E3A44" w:rsidP="005F4500">
      <w:pPr>
        <w:pStyle w:val="Paragraphedeliste"/>
        <w:numPr>
          <w:ilvl w:val="1"/>
          <w:numId w:val="1"/>
        </w:numPr>
        <w:jc w:val="both"/>
        <w:rPr>
          <w:sz w:val="24"/>
          <w:szCs w:val="24"/>
        </w:rPr>
      </w:pPr>
      <w:r w:rsidRPr="009A78FC">
        <w:rPr>
          <w:sz w:val="24"/>
          <w:szCs w:val="24"/>
        </w:rPr>
        <w:t>Les impacts de la politique d’atténuation sur les politiques sectorielles, les émissions de GES évitées, les dimensions socioéconomiques</w:t>
      </w:r>
      <w:r>
        <w:rPr>
          <w:sz w:val="24"/>
          <w:szCs w:val="24"/>
        </w:rPr>
        <w:t>, y compris l’égalité genre,</w:t>
      </w:r>
      <w:r w:rsidRPr="009A78FC">
        <w:rPr>
          <w:sz w:val="24"/>
          <w:szCs w:val="24"/>
        </w:rPr>
        <w:t xml:space="preserve"> et les objectifs de développement durable (ODD) sont évalués ;</w:t>
      </w:r>
    </w:p>
    <w:p w14:paraId="0144A149" w14:textId="77777777" w:rsidR="001C5504" w:rsidRDefault="001C5504" w:rsidP="005F4500">
      <w:pPr>
        <w:pStyle w:val="Paragraphedeliste"/>
        <w:jc w:val="both"/>
        <w:rPr>
          <w:sz w:val="24"/>
          <w:szCs w:val="24"/>
        </w:rPr>
      </w:pPr>
    </w:p>
    <w:p w14:paraId="7BB0434A" w14:textId="148939DF" w:rsidR="00C12C10" w:rsidRDefault="00C12C10" w:rsidP="009A78FC">
      <w:pPr>
        <w:pStyle w:val="Paragraphedeliste"/>
        <w:numPr>
          <w:ilvl w:val="0"/>
          <w:numId w:val="1"/>
        </w:numPr>
        <w:jc w:val="both"/>
        <w:rPr>
          <w:sz w:val="24"/>
          <w:szCs w:val="24"/>
        </w:rPr>
      </w:pPr>
      <w:r>
        <w:rPr>
          <w:sz w:val="24"/>
          <w:szCs w:val="24"/>
        </w:rPr>
        <w:t xml:space="preserve">La CDN mise </w:t>
      </w:r>
      <w:r w:rsidR="004A3201">
        <w:rPr>
          <w:sz w:val="24"/>
          <w:szCs w:val="24"/>
        </w:rPr>
        <w:t>à</w:t>
      </w:r>
      <w:r>
        <w:rPr>
          <w:sz w:val="24"/>
          <w:szCs w:val="24"/>
        </w:rPr>
        <w:t xml:space="preserve"> jour </w:t>
      </w:r>
      <w:r w:rsidR="004A3201">
        <w:rPr>
          <w:sz w:val="24"/>
          <w:szCs w:val="24"/>
        </w:rPr>
        <w:t>consolidée</w:t>
      </w:r>
      <w:r>
        <w:rPr>
          <w:sz w:val="24"/>
          <w:szCs w:val="24"/>
        </w:rPr>
        <w:t xml:space="preserve"> pour les deux volet</w:t>
      </w:r>
      <w:r w:rsidR="00457DD0">
        <w:rPr>
          <w:sz w:val="24"/>
          <w:szCs w:val="24"/>
        </w:rPr>
        <w:t>s</w:t>
      </w:r>
      <w:r>
        <w:rPr>
          <w:sz w:val="24"/>
          <w:szCs w:val="24"/>
        </w:rPr>
        <w:t xml:space="preserve"> </w:t>
      </w:r>
      <w:r w:rsidR="004774FE">
        <w:rPr>
          <w:sz w:val="24"/>
          <w:szCs w:val="24"/>
        </w:rPr>
        <w:t>atténuation</w:t>
      </w:r>
      <w:r>
        <w:rPr>
          <w:sz w:val="24"/>
          <w:szCs w:val="24"/>
        </w:rPr>
        <w:t xml:space="preserve"> et adaptation incluant un chapitre sur la synergie et </w:t>
      </w:r>
      <w:r w:rsidR="00C216EC">
        <w:rPr>
          <w:sz w:val="24"/>
          <w:szCs w:val="24"/>
        </w:rPr>
        <w:t>prête</w:t>
      </w:r>
      <w:r>
        <w:rPr>
          <w:sz w:val="24"/>
          <w:szCs w:val="24"/>
        </w:rPr>
        <w:t xml:space="preserve"> </w:t>
      </w:r>
      <w:r w:rsidR="00C216EC">
        <w:rPr>
          <w:sz w:val="24"/>
          <w:szCs w:val="24"/>
        </w:rPr>
        <w:t>à</w:t>
      </w:r>
      <w:r>
        <w:rPr>
          <w:sz w:val="24"/>
          <w:szCs w:val="24"/>
        </w:rPr>
        <w:t xml:space="preserve"> </w:t>
      </w:r>
      <w:r w:rsidR="00C216EC">
        <w:rPr>
          <w:sz w:val="24"/>
          <w:szCs w:val="24"/>
        </w:rPr>
        <w:t>la soumission</w:t>
      </w:r>
      <w:r w:rsidRPr="009A78FC">
        <w:rPr>
          <w:sz w:val="24"/>
          <w:szCs w:val="24"/>
        </w:rPr>
        <w:t xml:space="preserve"> à la CCNUCC avant la tenue de la COP 26</w:t>
      </w:r>
    </w:p>
    <w:p w14:paraId="640D6E34" w14:textId="094780D3" w:rsidR="008B2489" w:rsidRDefault="00CD2A7A" w:rsidP="009A78FC">
      <w:pPr>
        <w:pStyle w:val="Paragraphedeliste"/>
        <w:numPr>
          <w:ilvl w:val="0"/>
          <w:numId w:val="1"/>
        </w:numPr>
        <w:jc w:val="both"/>
        <w:rPr>
          <w:sz w:val="24"/>
          <w:szCs w:val="24"/>
        </w:rPr>
      </w:pPr>
      <w:r>
        <w:rPr>
          <w:sz w:val="24"/>
          <w:szCs w:val="24"/>
        </w:rPr>
        <w:t>L’i</w:t>
      </w:r>
      <w:r w:rsidR="00AF257B">
        <w:rPr>
          <w:sz w:val="24"/>
          <w:szCs w:val="24"/>
        </w:rPr>
        <w:t xml:space="preserve">nventaire national des émissions de GES est élaboré et sert de base </w:t>
      </w:r>
      <w:r w:rsidR="00457DD0">
        <w:rPr>
          <w:sz w:val="24"/>
          <w:szCs w:val="24"/>
        </w:rPr>
        <w:t xml:space="preserve">à </w:t>
      </w:r>
      <w:r w:rsidR="00AF257B">
        <w:rPr>
          <w:sz w:val="24"/>
          <w:szCs w:val="24"/>
        </w:rPr>
        <w:t xml:space="preserve">la mise </w:t>
      </w:r>
      <w:r w:rsidR="00F578D4">
        <w:rPr>
          <w:sz w:val="24"/>
          <w:szCs w:val="24"/>
        </w:rPr>
        <w:t>à</w:t>
      </w:r>
      <w:r w:rsidR="00AF257B">
        <w:rPr>
          <w:sz w:val="24"/>
          <w:szCs w:val="24"/>
        </w:rPr>
        <w:t xml:space="preserve"> jour de la CDN pour le volet atténuation ;  </w:t>
      </w:r>
    </w:p>
    <w:p w14:paraId="2347D9A9" w14:textId="2C249F09" w:rsidR="004F2BC1" w:rsidRDefault="004F2BC1" w:rsidP="009A78FC">
      <w:pPr>
        <w:pStyle w:val="Paragraphedeliste"/>
        <w:numPr>
          <w:ilvl w:val="0"/>
          <w:numId w:val="1"/>
        </w:numPr>
        <w:jc w:val="both"/>
        <w:rPr>
          <w:sz w:val="24"/>
          <w:szCs w:val="24"/>
        </w:rPr>
      </w:pPr>
      <w:r>
        <w:rPr>
          <w:sz w:val="24"/>
          <w:szCs w:val="24"/>
        </w:rPr>
        <w:t xml:space="preserve">Un système national de l’inventaire des </w:t>
      </w:r>
      <w:r w:rsidR="00223822">
        <w:rPr>
          <w:sz w:val="24"/>
          <w:szCs w:val="24"/>
        </w:rPr>
        <w:t>émissions</w:t>
      </w:r>
      <w:r>
        <w:rPr>
          <w:sz w:val="24"/>
          <w:szCs w:val="24"/>
        </w:rPr>
        <w:t xml:space="preserve"> de GES est mis en place en étroite concertation avec le groupe de travail </w:t>
      </w:r>
      <w:r w:rsidR="007E49B8">
        <w:rPr>
          <w:sz w:val="24"/>
          <w:szCs w:val="24"/>
        </w:rPr>
        <w:t xml:space="preserve">national pour </w:t>
      </w:r>
      <w:r w:rsidR="00457DD0">
        <w:rPr>
          <w:sz w:val="24"/>
          <w:szCs w:val="24"/>
        </w:rPr>
        <w:t>l’</w:t>
      </w:r>
      <w:r>
        <w:rPr>
          <w:sz w:val="24"/>
          <w:szCs w:val="24"/>
        </w:rPr>
        <w:t xml:space="preserve">inventaire contribuant ainsi </w:t>
      </w:r>
      <w:r w:rsidR="007E49B8">
        <w:rPr>
          <w:sz w:val="24"/>
          <w:szCs w:val="24"/>
        </w:rPr>
        <w:t>à</w:t>
      </w:r>
      <w:r>
        <w:rPr>
          <w:sz w:val="24"/>
          <w:szCs w:val="24"/>
        </w:rPr>
        <w:t xml:space="preserve"> la durabilité de la mise </w:t>
      </w:r>
      <w:r w:rsidR="007E49B8">
        <w:rPr>
          <w:sz w:val="24"/>
          <w:szCs w:val="24"/>
        </w:rPr>
        <w:t>à</w:t>
      </w:r>
      <w:r>
        <w:rPr>
          <w:sz w:val="24"/>
          <w:szCs w:val="24"/>
        </w:rPr>
        <w:t xml:space="preserve"> jour dudit </w:t>
      </w:r>
      <w:r w:rsidR="003B3652">
        <w:rPr>
          <w:sz w:val="24"/>
          <w:szCs w:val="24"/>
        </w:rPr>
        <w:t>inventaire</w:t>
      </w:r>
      <w:r w:rsidR="00D52D7A">
        <w:rPr>
          <w:sz w:val="24"/>
          <w:szCs w:val="24"/>
        </w:rPr>
        <w:t xml:space="preserve"> ; </w:t>
      </w:r>
    </w:p>
    <w:p w14:paraId="03D2D0D9" w14:textId="4F887645" w:rsidR="00E87E6A" w:rsidRPr="009A78FC" w:rsidRDefault="00E87E6A" w:rsidP="009A78FC">
      <w:pPr>
        <w:pStyle w:val="Paragraphedeliste"/>
        <w:numPr>
          <w:ilvl w:val="0"/>
          <w:numId w:val="1"/>
        </w:numPr>
        <w:jc w:val="both"/>
        <w:rPr>
          <w:sz w:val="24"/>
          <w:szCs w:val="24"/>
        </w:rPr>
      </w:pPr>
      <w:r>
        <w:rPr>
          <w:sz w:val="24"/>
          <w:szCs w:val="24"/>
        </w:rPr>
        <w:t xml:space="preserve">Les capacités nationales en </w:t>
      </w:r>
      <w:r w:rsidR="003B3652">
        <w:rPr>
          <w:sz w:val="24"/>
          <w:szCs w:val="24"/>
        </w:rPr>
        <w:t>matière</w:t>
      </w:r>
      <w:r>
        <w:rPr>
          <w:sz w:val="24"/>
          <w:szCs w:val="24"/>
        </w:rPr>
        <w:t xml:space="preserve"> de politique climatique sont </w:t>
      </w:r>
      <w:r w:rsidR="00AA6658">
        <w:rPr>
          <w:sz w:val="24"/>
          <w:szCs w:val="24"/>
        </w:rPr>
        <w:t>renforcées</w:t>
      </w:r>
      <w:r>
        <w:rPr>
          <w:sz w:val="24"/>
          <w:szCs w:val="24"/>
        </w:rPr>
        <w:t xml:space="preserve"> notamment en lien avec l’inventaire national GES et la mise en œuvre de l’Accord de Paris ; </w:t>
      </w:r>
    </w:p>
    <w:p w14:paraId="0E778C06" w14:textId="66658F16" w:rsidR="00FD2C8F" w:rsidRPr="007E0A9A" w:rsidRDefault="005328CE" w:rsidP="005F4500">
      <w:pPr>
        <w:pStyle w:val="Paragraphedeliste"/>
        <w:numPr>
          <w:ilvl w:val="0"/>
          <w:numId w:val="1"/>
        </w:numPr>
        <w:jc w:val="both"/>
        <w:rPr>
          <w:b/>
          <w:sz w:val="24"/>
          <w:szCs w:val="24"/>
        </w:rPr>
      </w:pPr>
      <w:r w:rsidRPr="005F4500">
        <w:rPr>
          <w:sz w:val="24"/>
          <w:szCs w:val="24"/>
        </w:rPr>
        <w:t xml:space="preserve">La feuille de route pluriannuelle </w:t>
      </w:r>
      <w:r w:rsidR="00F9643C" w:rsidRPr="005F4500">
        <w:rPr>
          <w:sz w:val="24"/>
          <w:szCs w:val="24"/>
        </w:rPr>
        <w:t xml:space="preserve">de la </w:t>
      </w:r>
      <w:r w:rsidR="008649D3" w:rsidRPr="005F4500">
        <w:rPr>
          <w:sz w:val="24"/>
          <w:szCs w:val="24"/>
        </w:rPr>
        <w:t xml:space="preserve">mise en œuvre de la </w:t>
      </w:r>
      <w:r w:rsidR="00F9643C" w:rsidRPr="005F4500">
        <w:rPr>
          <w:sz w:val="24"/>
          <w:szCs w:val="24"/>
        </w:rPr>
        <w:t xml:space="preserve">CDN </w:t>
      </w:r>
      <w:r w:rsidR="00456D56">
        <w:rPr>
          <w:sz w:val="24"/>
          <w:szCs w:val="24"/>
        </w:rPr>
        <w:t xml:space="preserve">mise </w:t>
      </w:r>
      <w:r w:rsidR="00454A1D">
        <w:rPr>
          <w:sz w:val="24"/>
          <w:szCs w:val="24"/>
        </w:rPr>
        <w:t>à</w:t>
      </w:r>
      <w:r w:rsidR="00456D56">
        <w:rPr>
          <w:sz w:val="24"/>
          <w:szCs w:val="24"/>
        </w:rPr>
        <w:t xml:space="preserve"> jour </w:t>
      </w:r>
      <w:r w:rsidR="00454A1D">
        <w:rPr>
          <w:sz w:val="24"/>
          <w:szCs w:val="24"/>
        </w:rPr>
        <w:t xml:space="preserve">pour le volet </w:t>
      </w:r>
      <w:r w:rsidR="003C5DEB">
        <w:rPr>
          <w:sz w:val="24"/>
          <w:szCs w:val="24"/>
        </w:rPr>
        <w:t>atténuation</w:t>
      </w:r>
      <w:r w:rsidR="00454A1D">
        <w:rPr>
          <w:sz w:val="24"/>
          <w:szCs w:val="24"/>
        </w:rPr>
        <w:t xml:space="preserve"> </w:t>
      </w:r>
      <w:r w:rsidR="0040329C" w:rsidRPr="005F4500">
        <w:rPr>
          <w:sz w:val="24"/>
          <w:szCs w:val="24"/>
        </w:rPr>
        <w:t>est élaborée et adoptée</w:t>
      </w:r>
      <w:r w:rsidR="00FD2C8F">
        <w:rPr>
          <w:sz w:val="24"/>
          <w:szCs w:val="24"/>
        </w:rPr>
        <w:t xml:space="preserve"> au niveau national</w:t>
      </w:r>
      <w:r w:rsidR="00F83B38" w:rsidRPr="005F4500">
        <w:rPr>
          <w:sz w:val="24"/>
          <w:szCs w:val="24"/>
        </w:rPr>
        <w:t>.</w:t>
      </w:r>
    </w:p>
    <w:p w14:paraId="5F4EB470" w14:textId="097AF553" w:rsidR="00371EB6" w:rsidRPr="009A78FC" w:rsidRDefault="00371EB6" w:rsidP="00BD456A">
      <w:pPr>
        <w:pStyle w:val="Paragraphedeliste"/>
        <w:numPr>
          <w:ilvl w:val="0"/>
          <w:numId w:val="17"/>
        </w:numPr>
        <w:jc w:val="both"/>
        <w:rPr>
          <w:b/>
          <w:sz w:val="24"/>
          <w:szCs w:val="24"/>
        </w:rPr>
      </w:pPr>
      <w:r w:rsidRPr="009A78FC">
        <w:rPr>
          <w:b/>
          <w:sz w:val="24"/>
          <w:szCs w:val="24"/>
        </w:rPr>
        <w:t>LIVRABLES</w:t>
      </w:r>
      <w:r w:rsidR="00034B8D">
        <w:rPr>
          <w:b/>
          <w:sz w:val="24"/>
          <w:szCs w:val="24"/>
        </w:rPr>
        <w:t xml:space="preserve"> </w:t>
      </w:r>
      <w:r w:rsidR="00E94D93">
        <w:rPr>
          <w:b/>
          <w:sz w:val="24"/>
          <w:szCs w:val="24"/>
        </w:rPr>
        <w:t>ATTENDUS</w:t>
      </w:r>
    </w:p>
    <w:p w14:paraId="435B0EC1" w14:textId="1725C3F8" w:rsidR="003D1247" w:rsidRDefault="001D34D6" w:rsidP="00364108">
      <w:pPr>
        <w:rPr>
          <w:sz w:val="24"/>
          <w:szCs w:val="24"/>
        </w:rPr>
      </w:pPr>
      <w:r w:rsidRPr="009A78FC">
        <w:rPr>
          <w:sz w:val="24"/>
          <w:szCs w:val="24"/>
        </w:rPr>
        <w:t>Le prestataire doit restituer les livrables suivants :</w:t>
      </w:r>
      <w:r w:rsidR="003D1247">
        <w:rPr>
          <w:sz w:val="24"/>
          <w:szCs w:val="24"/>
        </w:rPr>
        <w:t xml:space="preserve"> </w:t>
      </w:r>
    </w:p>
    <w:p w14:paraId="1A010A1F" w14:textId="64E18F90" w:rsidR="001D34D6" w:rsidRPr="00364108" w:rsidRDefault="001D34D6" w:rsidP="00BD456A">
      <w:pPr>
        <w:pStyle w:val="Paragraphedeliste"/>
        <w:numPr>
          <w:ilvl w:val="0"/>
          <w:numId w:val="15"/>
        </w:numPr>
        <w:jc w:val="both"/>
        <w:rPr>
          <w:sz w:val="24"/>
          <w:szCs w:val="24"/>
        </w:rPr>
      </w:pPr>
      <w:r w:rsidRPr="00364108">
        <w:rPr>
          <w:sz w:val="24"/>
          <w:szCs w:val="24"/>
        </w:rPr>
        <w:t xml:space="preserve">Une note méthodologique </w:t>
      </w:r>
      <w:r w:rsidR="003D1247" w:rsidRPr="00364108">
        <w:rPr>
          <w:sz w:val="24"/>
          <w:szCs w:val="24"/>
        </w:rPr>
        <w:t xml:space="preserve">assortie d’un plan de travail </w:t>
      </w:r>
      <w:r w:rsidR="00DD6B56" w:rsidRPr="00364108">
        <w:rPr>
          <w:sz w:val="24"/>
          <w:szCs w:val="24"/>
        </w:rPr>
        <w:t xml:space="preserve">détaillé </w:t>
      </w:r>
      <w:r w:rsidR="003D1247" w:rsidRPr="00364108">
        <w:rPr>
          <w:sz w:val="24"/>
          <w:szCs w:val="24"/>
        </w:rPr>
        <w:t xml:space="preserve">et d’un chronogramme de </w:t>
      </w:r>
      <w:r w:rsidRPr="00364108">
        <w:rPr>
          <w:sz w:val="24"/>
          <w:szCs w:val="24"/>
        </w:rPr>
        <w:t xml:space="preserve">mise à jour </w:t>
      </w:r>
      <w:r w:rsidR="007C394E" w:rsidRPr="00364108">
        <w:rPr>
          <w:sz w:val="24"/>
          <w:szCs w:val="24"/>
        </w:rPr>
        <w:t>à la suite de</w:t>
      </w:r>
      <w:r w:rsidRPr="00364108">
        <w:rPr>
          <w:sz w:val="24"/>
          <w:szCs w:val="24"/>
        </w:rPr>
        <w:t xml:space="preserve"> la réunion de démarrage ;</w:t>
      </w:r>
    </w:p>
    <w:p w14:paraId="31AAF328" w14:textId="6ABDAB74" w:rsidR="002E4828" w:rsidRDefault="002E4828" w:rsidP="00BD456A">
      <w:pPr>
        <w:pStyle w:val="Paragraphedeliste"/>
        <w:numPr>
          <w:ilvl w:val="0"/>
          <w:numId w:val="15"/>
        </w:numPr>
        <w:jc w:val="both"/>
        <w:rPr>
          <w:sz w:val="24"/>
          <w:szCs w:val="24"/>
        </w:rPr>
      </w:pPr>
      <w:r>
        <w:rPr>
          <w:sz w:val="24"/>
          <w:szCs w:val="24"/>
        </w:rPr>
        <w:t>L</w:t>
      </w:r>
      <w:r w:rsidR="008B03A5">
        <w:rPr>
          <w:sz w:val="24"/>
          <w:szCs w:val="24"/>
        </w:rPr>
        <w:t>e rapport de l</w:t>
      </w:r>
      <w:r>
        <w:rPr>
          <w:sz w:val="24"/>
          <w:szCs w:val="24"/>
        </w:rPr>
        <w:t>’inventaire national des émissions de GES</w:t>
      </w:r>
      <w:r w:rsidR="00457DD0">
        <w:rPr>
          <w:sz w:val="24"/>
          <w:szCs w:val="24"/>
        </w:rPr>
        <w:t xml:space="preserve"> (y compris le processus de collecte des données</w:t>
      </w:r>
      <w:r w:rsidR="00753532">
        <w:rPr>
          <w:sz w:val="24"/>
          <w:szCs w:val="24"/>
        </w:rPr>
        <w:t xml:space="preserve"> notamment le bilan énergétique</w:t>
      </w:r>
      <w:r w:rsidR="00457DD0">
        <w:rPr>
          <w:sz w:val="24"/>
          <w:szCs w:val="24"/>
        </w:rPr>
        <w:t>)</w:t>
      </w:r>
      <w:r>
        <w:rPr>
          <w:sz w:val="24"/>
          <w:szCs w:val="24"/>
        </w:rPr>
        <w:t xml:space="preserve"> ;  </w:t>
      </w:r>
    </w:p>
    <w:p w14:paraId="6EB16100" w14:textId="05D8AA98" w:rsidR="000041FB" w:rsidRDefault="000041FB" w:rsidP="00BD456A">
      <w:pPr>
        <w:pStyle w:val="Paragraphedeliste"/>
        <w:numPr>
          <w:ilvl w:val="0"/>
          <w:numId w:val="15"/>
        </w:numPr>
        <w:jc w:val="both"/>
        <w:rPr>
          <w:sz w:val="24"/>
          <w:szCs w:val="24"/>
        </w:rPr>
      </w:pPr>
      <w:r>
        <w:rPr>
          <w:sz w:val="24"/>
          <w:szCs w:val="24"/>
        </w:rPr>
        <w:t>Le</w:t>
      </w:r>
      <w:r w:rsidRPr="00034B8D">
        <w:rPr>
          <w:sz w:val="24"/>
          <w:szCs w:val="24"/>
        </w:rPr>
        <w:t xml:space="preserve"> rapport final détaillé sur la mise à jour de la CDN dans le domaine de l’atténuation</w:t>
      </w:r>
      <w:r>
        <w:rPr>
          <w:sz w:val="24"/>
          <w:szCs w:val="24"/>
        </w:rPr>
        <w:t xml:space="preserve"> incluant </w:t>
      </w:r>
      <w:r w:rsidRPr="00034B8D" w:rsidDel="00C3528A">
        <w:rPr>
          <w:sz w:val="24"/>
          <w:szCs w:val="24"/>
        </w:rPr>
        <w:t>l’évaluation des besoins de financement, l’évaluation des impacts</w:t>
      </w:r>
      <w:r>
        <w:rPr>
          <w:sz w:val="24"/>
          <w:szCs w:val="24"/>
        </w:rPr>
        <w:t>, y compris l’égalité genre</w:t>
      </w:r>
      <w:r w:rsidRPr="00034B8D" w:rsidDel="00C3528A">
        <w:rPr>
          <w:sz w:val="24"/>
          <w:szCs w:val="24"/>
        </w:rPr>
        <w:t>, la mise en place d’un système MRV, et des indicateurs de suivi de la CDN</w:t>
      </w:r>
      <w:r w:rsidR="00C35000">
        <w:rPr>
          <w:sz w:val="24"/>
          <w:szCs w:val="24"/>
        </w:rPr>
        <w:t> ;</w:t>
      </w:r>
    </w:p>
    <w:p w14:paraId="2A10BB0D" w14:textId="4A0FD4DB" w:rsidR="006C0E81" w:rsidRPr="005F4500" w:rsidRDefault="00035E20" w:rsidP="00BD456A">
      <w:pPr>
        <w:pStyle w:val="Paragraphedeliste"/>
        <w:numPr>
          <w:ilvl w:val="0"/>
          <w:numId w:val="15"/>
        </w:numPr>
        <w:jc w:val="both"/>
        <w:rPr>
          <w:sz w:val="24"/>
          <w:szCs w:val="24"/>
        </w:rPr>
      </w:pPr>
      <w:r w:rsidRPr="005F4500">
        <w:rPr>
          <w:sz w:val="24"/>
          <w:szCs w:val="24"/>
        </w:rPr>
        <w:t>Le rapport détaillé</w:t>
      </w:r>
      <w:r w:rsidR="00C35000" w:rsidRPr="005F4500">
        <w:rPr>
          <w:sz w:val="24"/>
          <w:szCs w:val="24"/>
        </w:rPr>
        <w:t xml:space="preserve"> </w:t>
      </w:r>
      <w:r w:rsidRPr="005F4500">
        <w:rPr>
          <w:sz w:val="24"/>
          <w:szCs w:val="24"/>
        </w:rPr>
        <w:t>consolidée</w:t>
      </w:r>
      <w:r w:rsidR="00C35000" w:rsidRPr="005F4500">
        <w:rPr>
          <w:sz w:val="24"/>
          <w:szCs w:val="24"/>
        </w:rPr>
        <w:t xml:space="preserve"> de la CDN pour les deux volets </w:t>
      </w:r>
      <w:r w:rsidRPr="005F4500">
        <w:rPr>
          <w:sz w:val="24"/>
          <w:szCs w:val="24"/>
        </w:rPr>
        <w:t>atténuation</w:t>
      </w:r>
      <w:r w:rsidR="00C35000" w:rsidRPr="005F4500">
        <w:rPr>
          <w:sz w:val="24"/>
          <w:szCs w:val="24"/>
        </w:rPr>
        <w:t xml:space="preserve"> et adaptation</w:t>
      </w:r>
      <w:r w:rsidRPr="005F4500">
        <w:rPr>
          <w:sz w:val="24"/>
          <w:szCs w:val="24"/>
        </w:rPr>
        <w:t xml:space="preserve"> </w:t>
      </w:r>
      <w:r w:rsidRPr="00686561">
        <w:rPr>
          <w:sz w:val="24"/>
          <w:szCs w:val="24"/>
        </w:rPr>
        <w:t>avec tous ses chapitres, y compris un chapitre sur la synergie entre adaptation et atténuation</w:t>
      </w:r>
      <w:r w:rsidRPr="005F4500">
        <w:rPr>
          <w:sz w:val="24"/>
          <w:szCs w:val="24"/>
        </w:rPr>
        <w:t xml:space="preserve"> avec le </w:t>
      </w:r>
      <w:r w:rsidR="006C0E81" w:rsidRPr="005F4500">
        <w:rPr>
          <w:sz w:val="24"/>
          <w:szCs w:val="24"/>
        </w:rPr>
        <w:t>résumé de la CDN consolidée à soumettre au secrétariat de la CCNUCC (en français, anglais et portugais).</w:t>
      </w:r>
    </w:p>
    <w:p w14:paraId="3E53883B" w14:textId="2925C3F7" w:rsidR="00DA2A45" w:rsidRPr="005F4500" w:rsidRDefault="00DA2A45" w:rsidP="00BD456A">
      <w:pPr>
        <w:pStyle w:val="Paragraphedeliste"/>
        <w:numPr>
          <w:ilvl w:val="0"/>
          <w:numId w:val="15"/>
        </w:numPr>
        <w:jc w:val="both"/>
        <w:rPr>
          <w:sz w:val="24"/>
          <w:szCs w:val="24"/>
        </w:rPr>
      </w:pPr>
      <w:r w:rsidRPr="005F4500">
        <w:rPr>
          <w:sz w:val="24"/>
          <w:szCs w:val="24"/>
        </w:rPr>
        <w:t xml:space="preserve">Un rapport sur la mise en place d’un système national de l’inventaire des émissions de </w:t>
      </w:r>
      <w:r w:rsidR="001524FE" w:rsidRPr="005F4500">
        <w:rPr>
          <w:sz w:val="24"/>
          <w:szCs w:val="24"/>
        </w:rPr>
        <w:t>GES ;</w:t>
      </w:r>
      <w:r w:rsidRPr="005F4500">
        <w:rPr>
          <w:sz w:val="24"/>
          <w:szCs w:val="24"/>
        </w:rPr>
        <w:t xml:space="preserve"> </w:t>
      </w:r>
    </w:p>
    <w:p w14:paraId="259E226A" w14:textId="1E418E98" w:rsidR="00DA2A45" w:rsidRPr="009A78FC" w:rsidRDefault="00DA2A45" w:rsidP="00BD456A">
      <w:pPr>
        <w:pStyle w:val="Paragraphedeliste"/>
        <w:numPr>
          <w:ilvl w:val="0"/>
          <w:numId w:val="15"/>
        </w:numPr>
        <w:jc w:val="both"/>
        <w:rPr>
          <w:sz w:val="24"/>
          <w:szCs w:val="24"/>
        </w:rPr>
      </w:pPr>
      <w:r>
        <w:rPr>
          <w:sz w:val="24"/>
          <w:szCs w:val="24"/>
        </w:rPr>
        <w:t xml:space="preserve">Un rapport sur le renforcement des capacités y compris les cycles de formation </w:t>
      </w:r>
      <w:r w:rsidR="005134A1">
        <w:rPr>
          <w:sz w:val="24"/>
          <w:szCs w:val="24"/>
        </w:rPr>
        <w:t>à</w:t>
      </w:r>
      <w:r>
        <w:rPr>
          <w:sz w:val="24"/>
          <w:szCs w:val="24"/>
        </w:rPr>
        <w:t xml:space="preserve"> mettre en œuvre ; </w:t>
      </w:r>
    </w:p>
    <w:p w14:paraId="3E9B1453" w14:textId="612F2844" w:rsidR="00DA2A45" w:rsidRPr="00034B8D" w:rsidRDefault="00DA2A45" w:rsidP="00BD456A">
      <w:pPr>
        <w:pStyle w:val="Paragraphedeliste"/>
        <w:numPr>
          <w:ilvl w:val="0"/>
          <w:numId w:val="15"/>
        </w:numPr>
        <w:jc w:val="both"/>
        <w:rPr>
          <w:sz w:val="24"/>
          <w:szCs w:val="24"/>
        </w:rPr>
      </w:pPr>
      <w:r w:rsidRPr="00B43F8F">
        <w:rPr>
          <w:sz w:val="24"/>
          <w:szCs w:val="24"/>
        </w:rPr>
        <w:t>L</w:t>
      </w:r>
      <w:r>
        <w:rPr>
          <w:sz w:val="24"/>
          <w:szCs w:val="24"/>
        </w:rPr>
        <w:t>e rapport de l</w:t>
      </w:r>
      <w:r w:rsidRPr="00B43F8F">
        <w:rPr>
          <w:sz w:val="24"/>
          <w:szCs w:val="24"/>
        </w:rPr>
        <w:t>a feuille de route pluriannuelle de la mise en œuvre de la CDN</w:t>
      </w:r>
      <w:r w:rsidRPr="00034B8D">
        <w:rPr>
          <w:sz w:val="24"/>
          <w:szCs w:val="24"/>
        </w:rPr>
        <w:t> </w:t>
      </w:r>
      <w:r w:rsidR="00CA37E9">
        <w:rPr>
          <w:sz w:val="24"/>
          <w:szCs w:val="24"/>
        </w:rPr>
        <w:t xml:space="preserve">mise </w:t>
      </w:r>
      <w:r w:rsidR="008D5A22">
        <w:rPr>
          <w:sz w:val="24"/>
          <w:szCs w:val="24"/>
        </w:rPr>
        <w:t>à</w:t>
      </w:r>
      <w:r w:rsidR="00CA37E9">
        <w:rPr>
          <w:sz w:val="24"/>
          <w:szCs w:val="24"/>
        </w:rPr>
        <w:t xml:space="preserve"> jour</w:t>
      </w:r>
      <w:r w:rsidR="002A0FD3">
        <w:rPr>
          <w:sz w:val="24"/>
          <w:szCs w:val="24"/>
        </w:rPr>
        <w:t xml:space="preserve"> pour le volet </w:t>
      </w:r>
      <w:proofErr w:type="spellStart"/>
      <w:proofErr w:type="gramStart"/>
      <w:r w:rsidR="002A0FD3">
        <w:rPr>
          <w:sz w:val="24"/>
          <w:szCs w:val="24"/>
        </w:rPr>
        <w:t>attenuation</w:t>
      </w:r>
      <w:proofErr w:type="spellEnd"/>
      <w:r w:rsidRPr="00034B8D">
        <w:rPr>
          <w:sz w:val="24"/>
          <w:szCs w:val="24"/>
        </w:rPr>
        <w:t>;</w:t>
      </w:r>
      <w:proofErr w:type="gramEnd"/>
    </w:p>
    <w:p w14:paraId="33EDA158" w14:textId="77777777" w:rsidR="00DA2A45" w:rsidRDefault="00DA2A45" w:rsidP="005F4500">
      <w:pPr>
        <w:pStyle w:val="Paragraphedeliste"/>
        <w:jc w:val="both"/>
        <w:rPr>
          <w:sz w:val="24"/>
          <w:szCs w:val="24"/>
        </w:rPr>
      </w:pPr>
    </w:p>
    <w:p w14:paraId="277EE21B" w14:textId="3B920641" w:rsidR="006C0E36" w:rsidRPr="009A78FC" w:rsidRDefault="00EB1B34" w:rsidP="00BD456A">
      <w:pPr>
        <w:pStyle w:val="Paragraphedeliste"/>
        <w:numPr>
          <w:ilvl w:val="0"/>
          <w:numId w:val="17"/>
        </w:numPr>
        <w:jc w:val="both"/>
        <w:rPr>
          <w:b/>
          <w:sz w:val="24"/>
          <w:szCs w:val="24"/>
        </w:rPr>
      </w:pPr>
      <w:r w:rsidRPr="009A78FC">
        <w:rPr>
          <w:b/>
          <w:sz w:val="24"/>
          <w:szCs w:val="24"/>
        </w:rPr>
        <w:t>DELAIS DE REALISATION</w:t>
      </w:r>
      <w:r w:rsidR="003965BE">
        <w:rPr>
          <w:b/>
          <w:sz w:val="24"/>
          <w:szCs w:val="24"/>
        </w:rPr>
        <w:t>, EFFORTS DE REALISATION</w:t>
      </w:r>
      <w:r w:rsidRPr="009A78FC">
        <w:rPr>
          <w:b/>
          <w:sz w:val="24"/>
          <w:szCs w:val="24"/>
        </w:rPr>
        <w:t xml:space="preserve"> ET MODALITES DE PAIEMENT</w:t>
      </w:r>
    </w:p>
    <w:p w14:paraId="6CB122FA" w14:textId="1B4BDADE" w:rsidR="009348D5" w:rsidRPr="009A78FC" w:rsidRDefault="009348D5" w:rsidP="009348D5">
      <w:pPr>
        <w:jc w:val="both"/>
        <w:rPr>
          <w:sz w:val="24"/>
          <w:szCs w:val="24"/>
        </w:rPr>
      </w:pPr>
      <w:r w:rsidRPr="009A78FC">
        <w:rPr>
          <w:sz w:val="24"/>
          <w:szCs w:val="24"/>
        </w:rPr>
        <w:t xml:space="preserve">La durée prévue pour la réalisation de ces travaux est estimée à </w:t>
      </w:r>
      <w:r w:rsidR="00932FA3">
        <w:rPr>
          <w:sz w:val="24"/>
          <w:szCs w:val="24"/>
        </w:rPr>
        <w:t>10</w:t>
      </w:r>
      <w:r w:rsidRPr="009A78FC">
        <w:rPr>
          <w:sz w:val="24"/>
          <w:szCs w:val="24"/>
        </w:rPr>
        <w:t xml:space="preserve"> mois.</w:t>
      </w:r>
      <w:r>
        <w:rPr>
          <w:sz w:val="24"/>
          <w:szCs w:val="24"/>
        </w:rPr>
        <w:t xml:space="preserve"> </w:t>
      </w:r>
      <w:r w:rsidRPr="009A78FC">
        <w:rPr>
          <w:sz w:val="24"/>
          <w:szCs w:val="24"/>
        </w:rPr>
        <w:t xml:space="preserve">L’accomplissement de la présente mission et les moyens humains à mobiliser sont estimés </w:t>
      </w:r>
      <w:r w:rsidRPr="0005369D">
        <w:rPr>
          <w:sz w:val="24"/>
          <w:szCs w:val="24"/>
        </w:rPr>
        <w:t xml:space="preserve">à </w:t>
      </w:r>
      <w:r w:rsidRPr="00D51597">
        <w:rPr>
          <w:sz w:val="24"/>
          <w:szCs w:val="24"/>
        </w:rPr>
        <w:t>140 hommes jours</w:t>
      </w:r>
      <w:r w:rsidRPr="0005369D">
        <w:rPr>
          <w:sz w:val="24"/>
          <w:szCs w:val="24"/>
        </w:rPr>
        <w:t>.</w:t>
      </w:r>
    </w:p>
    <w:p w14:paraId="5E9CD9BF" w14:textId="74B148A3" w:rsidR="00171892" w:rsidRPr="009A78FC" w:rsidRDefault="00171892" w:rsidP="009A78FC">
      <w:pPr>
        <w:tabs>
          <w:tab w:val="left" w:pos="360"/>
        </w:tabs>
        <w:spacing w:line="360" w:lineRule="auto"/>
        <w:jc w:val="both"/>
        <w:rPr>
          <w:b/>
          <w:sz w:val="24"/>
          <w:szCs w:val="24"/>
          <w:lang w:eastAsia="fr-FR"/>
        </w:rPr>
      </w:pPr>
      <w:r w:rsidRPr="009A78FC">
        <w:rPr>
          <w:sz w:val="24"/>
          <w:szCs w:val="24"/>
          <w:lang w:eastAsia="fr-FR"/>
        </w:rPr>
        <w:t xml:space="preserve">Le prestataire est appelé à remettre les livrables </w:t>
      </w:r>
      <w:r w:rsidR="00F20E39">
        <w:rPr>
          <w:sz w:val="24"/>
          <w:szCs w:val="24"/>
          <w:lang w:eastAsia="fr-FR"/>
        </w:rPr>
        <w:t>(</w:t>
      </w:r>
      <w:r w:rsidRPr="009A78FC">
        <w:rPr>
          <w:sz w:val="24"/>
          <w:szCs w:val="24"/>
          <w:lang w:eastAsia="fr-FR"/>
        </w:rPr>
        <w:t>supports numériques) selon les délais de réalisation et les modalités de paiement décrits dans le tableau suivant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2835"/>
      </w:tblGrid>
      <w:tr w:rsidR="00171892" w:rsidRPr="009A78FC" w14:paraId="5033490E" w14:textId="77777777" w:rsidTr="007F4800">
        <w:tc>
          <w:tcPr>
            <w:tcW w:w="4390" w:type="dxa"/>
            <w:tcBorders>
              <w:top w:val="single" w:sz="4" w:space="0" w:color="auto"/>
              <w:left w:val="single" w:sz="4" w:space="0" w:color="auto"/>
              <w:bottom w:val="single" w:sz="4" w:space="0" w:color="auto"/>
              <w:right w:val="single" w:sz="4" w:space="0" w:color="auto"/>
            </w:tcBorders>
            <w:shd w:val="clear" w:color="auto" w:fill="5B9BD5"/>
            <w:hideMark/>
          </w:tcPr>
          <w:p w14:paraId="425A5C63" w14:textId="77777777" w:rsidR="00171892" w:rsidRPr="005F4500" w:rsidRDefault="00171892" w:rsidP="009A78FC">
            <w:pPr>
              <w:tabs>
                <w:tab w:val="left" w:pos="360"/>
              </w:tabs>
              <w:spacing w:line="360" w:lineRule="auto"/>
              <w:jc w:val="both"/>
              <w:rPr>
                <w:b/>
                <w:bCs/>
                <w:sz w:val="24"/>
                <w:szCs w:val="24"/>
                <w:lang w:eastAsia="fr-FR"/>
              </w:rPr>
            </w:pPr>
            <w:r w:rsidRPr="005F4500">
              <w:rPr>
                <w:b/>
                <w:bCs/>
                <w:sz w:val="24"/>
                <w:szCs w:val="24"/>
                <w:lang w:eastAsia="fr-FR"/>
              </w:rPr>
              <w:t>Livrables</w:t>
            </w:r>
          </w:p>
        </w:tc>
        <w:tc>
          <w:tcPr>
            <w:tcW w:w="283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F97204D" w14:textId="77777777" w:rsidR="00171892" w:rsidRPr="005F4500" w:rsidRDefault="00171892" w:rsidP="009A78FC">
            <w:pPr>
              <w:tabs>
                <w:tab w:val="left" w:pos="360"/>
              </w:tabs>
              <w:spacing w:line="360" w:lineRule="auto"/>
              <w:jc w:val="both"/>
              <w:rPr>
                <w:b/>
                <w:bCs/>
                <w:sz w:val="24"/>
                <w:szCs w:val="24"/>
                <w:lang w:eastAsia="fr-FR"/>
              </w:rPr>
            </w:pPr>
            <w:r w:rsidRPr="005F4500">
              <w:rPr>
                <w:b/>
                <w:bCs/>
                <w:sz w:val="24"/>
                <w:szCs w:val="24"/>
                <w:lang w:eastAsia="fr-FR"/>
              </w:rPr>
              <w:t>Délais de réalisation</w:t>
            </w:r>
          </w:p>
        </w:tc>
        <w:tc>
          <w:tcPr>
            <w:tcW w:w="283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03BEF7C1" w14:textId="77777777" w:rsidR="00171892" w:rsidRPr="005F4500" w:rsidRDefault="00171892" w:rsidP="009A78FC">
            <w:pPr>
              <w:tabs>
                <w:tab w:val="left" w:pos="360"/>
              </w:tabs>
              <w:spacing w:line="360" w:lineRule="auto"/>
              <w:jc w:val="both"/>
              <w:rPr>
                <w:b/>
                <w:bCs/>
                <w:sz w:val="24"/>
                <w:szCs w:val="24"/>
                <w:lang w:eastAsia="fr-FR"/>
              </w:rPr>
            </w:pPr>
            <w:r w:rsidRPr="005F4500">
              <w:rPr>
                <w:b/>
                <w:bCs/>
                <w:sz w:val="24"/>
                <w:szCs w:val="24"/>
                <w:lang w:eastAsia="fr-FR"/>
              </w:rPr>
              <w:t>Modalités de paiement</w:t>
            </w:r>
          </w:p>
        </w:tc>
      </w:tr>
      <w:tr w:rsidR="00171892" w:rsidRPr="009A78FC" w14:paraId="0F9C4E6F" w14:textId="77777777" w:rsidTr="007E0A9A">
        <w:trPr>
          <w:trHeight w:val="1698"/>
        </w:trPr>
        <w:tc>
          <w:tcPr>
            <w:tcW w:w="4390" w:type="dxa"/>
            <w:tcBorders>
              <w:top w:val="single" w:sz="4" w:space="0" w:color="auto"/>
              <w:left w:val="single" w:sz="4" w:space="0" w:color="auto"/>
              <w:bottom w:val="single" w:sz="4" w:space="0" w:color="auto"/>
              <w:right w:val="single" w:sz="4" w:space="0" w:color="auto"/>
            </w:tcBorders>
          </w:tcPr>
          <w:p w14:paraId="75545E04" w14:textId="69289A68" w:rsidR="00171892" w:rsidRPr="009A78FC" w:rsidRDefault="00BB0E2B" w:rsidP="007E0A9A">
            <w:pPr>
              <w:tabs>
                <w:tab w:val="left" w:pos="360"/>
              </w:tabs>
              <w:spacing w:line="276" w:lineRule="auto"/>
              <w:rPr>
                <w:sz w:val="24"/>
                <w:szCs w:val="24"/>
                <w:lang w:eastAsia="fr-FR"/>
              </w:rPr>
            </w:pPr>
            <w:r w:rsidRPr="009A78FC">
              <w:rPr>
                <w:b/>
                <w:sz w:val="24"/>
                <w:szCs w:val="24"/>
                <w:lang w:eastAsia="fr-FR"/>
              </w:rPr>
              <w:t>Livrable 1</w:t>
            </w:r>
            <w:r w:rsidRPr="009A78FC">
              <w:rPr>
                <w:sz w:val="24"/>
                <w:szCs w:val="24"/>
                <w:lang w:eastAsia="fr-FR"/>
              </w:rPr>
              <w:t xml:space="preserve"> </w:t>
            </w:r>
            <w:r w:rsidRPr="009A78FC">
              <w:rPr>
                <w:sz w:val="24"/>
                <w:szCs w:val="24"/>
              </w:rPr>
              <w:t>Une n</w:t>
            </w:r>
            <w:r w:rsidR="00171892" w:rsidRPr="009A78FC">
              <w:rPr>
                <w:sz w:val="24"/>
                <w:szCs w:val="24"/>
              </w:rPr>
              <w:t xml:space="preserve">ote méthodologique </w:t>
            </w:r>
            <w:r w:rsidR="003D1247" w:rsidRPr="00364108">
              <w:rPr>
                <w:sz w:val="24"/>
                <w:szCs w:val="24"/>
              </w:rPr>
              <w:t xml:space="preserve">assortie d’un plan de travail </w:t>
            </w:r>
            <w:r w:rsidR="00DD6B56" w:rsidRPr="00364108">
              <w:rPr>
                <w:sz w:val="24"/>
                <w:szCs w:val="24"/>
              </w:rPr>
              <w:t xml:space="preserve">détaillé </w:t>
            </w:r>
            <w:r w:rsidR="003D1247" w:rsidRPr="00364108">
              <w:rPr>
                <w:sz w:val="24"/>
                <w:szCs w:val="24"/>
              </w:rPr>
              <w:t xml:space="preserve">et d’un chronogramme de </w:t>
            </w:r>
            <w:r w:rsidR="00171892" w:rsidRPr="009A78FC">
              <w:rPr>
                <w:sz w:val="24"/>
                <w:szCs w:val="24"/>
              </w:rPr>
              <w:t xml:space="preserve">mise à jour </w:t>
            </w:r>
            <w:r w:rsidR="008F5BBC">
              <w:rPr>
                <w:sz w:val="24"/>
                <w:szCs w:val="24"/>
              </w:rPr>
              <w:t xml:space="preserve">à la </w:t>
            </w:r>
            <w:r w:rsidR="00171892" w:rsidRPr="009A78FC">
              <w:rPr>
                <w:sz w:val="24"/>
                <w:szCs w:val="24"/>
              </w:rPr>
              <w:t xml:space="preserve">suite </w:t>
            </w:r>
            <w:r w:rsidR="008F5BBC">
              <w:rPr>
                <w:sz w:val="24"/>
                <w:szCs w:val="24"/>
              </w:rPr>
              <w:t>de</w:t>
            </w:r>
            <w:r w:rsidR="00171892" w:rsidRPr="009A78FC">
              <w:rPr>
                <w:sz w:val="24"/>
                <w:szCs w:val="24"/>
              </w:rPr>
              <w:t xml:space="preserve"> la réunion de démarrage</w:t>
            </w:r>
          </w:p>
        </w:tc>
        <w:tc>
          <w:tcPr>
            <w:tcW w:w="2835" w:type="dxa"/>
            <w:tcBorders>
              <w:top w:val="single" w:sz="4" w:space="0" w:color="auto"/>
              <w:left w:val="single" w:sz="4" w:space="0" w:color="auto"/>
              <w:bottom w:val="single" w:sz="4" w:space="0" w:color="auto"/>
              <w:right w:val="single" w:sz="4" w:space="0" w:color="auto"/>
            </w:tcBorders>
            <w:hideMark/>
          </w:tcPr>
          <w:p w14:paraId="40A7A91A" w14:textId="503C7BCB" w:rsidR="00171892" w:rsidRPr="009A78FC" w:rsidRDefault="00516DD4" w:rsidP="00D51597">
            <w:pPr>
              <w:tabs>
                <w:tab w:val="left" w:pos="360"/>
              </w:tabs>
              <w:spacing w:line="276" w:lineRule="auto"/>
              <w:rPr>
                <w:sz w:val="24"/>
                <w:szCs w:val="24"/>
              </w:rPr>
            </w:pPr>
            <w:r>
              <w:rPr>
                <w:sz w:val="24"/>
                <w:szCs w:val="24"/>
              </w:rPr>
              <w:t>Trois</w:t>
            </w:r>
            <w:r w:rsidRPr="009A78FC">
              <w:rPr>
                <w:sz w:val="24"/>
                <w:szCs w:val="24"/>
              </w:rPr>
              <w:t xml:space="preserve"> </w:t>
            </w:r>
            <w:r w:rsidR="00171892" w:rsidRPr="009A78FC">
              <w:rPr>
                <w:sz w:val="24"/>
                <w:szCs w:val="24"/>
              </w:rPr>
              <w:t>jours après la réunion de démarrage</w:t>
            </w:r>
          </w:p>
        </w:tc>
        <w:tc>
          <w:tcPr>
            <w:tcW w:w="2835" w:type="dxa"/>
            <w:tcBorders>
              <w:top w:val="single" w:sz="4" w:space="0" w:color="auto"/>
              <w:left w:val="single" w:sz="4" w:space="0" w:color="auto"/>
              <w:bottom w:val="single" w:sz="4" w:space="0" w:color="auto"/>
              <w:right w:val="single" w:sz="4" w:space="0" w:color="auto"/>
            </w:tcBorders>
            <w:hideMark/>
          </w:tcPr>
          <w:p w14:paraId="7B0F28C7" w14:textId="250F6B6D" w:rsidR="00171892" w:rsidRPr="009A78FC" w:rsidRDefault="00516DD4" w:rsidP="00D51597">
            <w:pPr>
              <w:tabs>
                <w:tab w:val="left" w:pos="360"/>
              </w:tabs>
              <w:spacing w:line="276" w:lineRule="auto"/>
              <w:rPr>
                <w:sz w:val="24"/>
                <w:szCs w:val="24"/>
              </w:rPr>
            </w:pPr>
            <w:r w:rsidRPr="009A78FC">
              <w:rPr>
                <w:sz w:val="24"/>
                <w:szCs w:val="24"/>
              </w:rPr>
              <w:t>1</w:t>
            </w:r>
            <w:r w:rsidR="008F5BBC">
              <w:rPr>
                <w:sz w:val="24"/>
                <w:szCs w:val="24"/>
              </w:rPr>
              <w:t>0</w:t>
            </w:r>
            <w:r w:rsidR="00171892" w:rsidRPr="009A78FC">
              <w:rPr>
                <w:sz w:val="24"/>
                <w:szCs w:val="24"/>
              </w:rPr>
              <w:t>% du montant du contrat à l</w:t>
            </w:r>
            <w:r w:rsidR="007F574E">
              <w:rPr>
                <w:sz w:val="24"/>
                <w:szCs w:val="24"/>
              </w:rPr>
              <w:t>’approbation</w:t>
            </w:r>
            <w:r w:rsidR="00010A79">
              <w:rPr>
                <w:sz w:val="24"/>
                <w:szCs w:val="24"/>
              </w:rPr>
              <w:t xml:space="preserve"> du livrable</w:t>
            </w:r>
            <w:r w:rsidR="00010A79" w:rsidRPr="009A78FC" w:rsidDel="007F574E">
              <w:rPr>
                <w:sz w:val="24"/>
                <w:szCs w:val="24"/>
              </w:rPr>
              <w:t xml:space="preserve"> </w:t>
            </w:r>
          </w:p>
        </w:tc>
      </w:tr>
      <w:tr w:rsidR="0066101A" w:rsidRPr="009A78FC" w14:paraId="5AC0AC4C" w14:textId="77777777" w:rsidTr="00D51597">
        <w:tc>
          <w:tcPr>
            <w:tcW w:w="4390" w:type="dxa"/>
            <w:tcBorders>
              <w:top w:val="single" w:sz="4" w:space="0" w:color="auto"/>
              <w:left w:val="single" w:sz="4" w:space="0" w:color="auto"/>
              <w:bottom w:val="single" w:sz="4" w:space="0" w:color="auto"/>
              <w:right w:val="single" w:sz="4" w:space="0" w:color="auto"/>
            </w:tcBorders>
          </w:tcPr>
          <w:p w14:paraId="7C15556C" w14:textId="2CFF7921" w:rsidR="0066101A" w:rsidRPr="009A78FC" w:rsidRDefault="0066101A" w:rsidP="005F4500">
            <w:pPr>
              <w:rPr>
                <w:b/>
                <w:sz w:val="24"/>
                <w:szCs w:val="24"/>
                <w:lang w:eastAsia="fr-FR"/>
              </w:rPr>
            </w:pPr>
            <w:r>
              <w:rPr>
                <w:b/>
                <w:sz w:val="24"/>
                <w:szCs w:val="24"/>
                <w:lang w:eastAsia="fr-FR"/>
              </w:rPr>
              <w:t>Livrable</w:t>
            </w:r>
            <w:r w:rsidR="005F2545">
              <w:rPr>
                <w:b/>
                <w:sz w:val="24"/>
                <w:szCs w:val="24"/>
                <w:lang w:eastAsia="fr-FR"/>
              </w:rPr>
              <w:t xml:space="preserve"> 2 </w:t>
            </w:r>
            <w:r w:rsidRPr="005F4500">
              <w:rPr>
                <w:sz w:val="24"/>
                <w:szCs w:val="24"/>
              </w:rPr>
              <w:t xml:space="preserve">Un programme de renforcement des capacités avec un planning des cycles de formation </w:t>
            </w:r>
            <w:r w:rsidR="005F2545" w:rsidRPr="005F4500">
              <w:rPr>
                <w:sz w:val="24"/>
                <w:szCs w:val="24"/>
              </w:rPr>
              <w:t>à</w:t>
            </w:r>
            <w:r w:rsidRPr="005F4500">
              <w:rPr>
                <w:sz w:val="24"/>
                <w:szCs w:val="24"/>
              </w:rPr>
              <w:t xml:space="preserve"> mettre en </w:t>
            </w:r>
            <w:r w:rsidR="005F2545">
              <w:rPr>
                <w:sz w:val="24"/>
                <w:szCs w:val="24"/>
              </w:rPr>
              <w:t xml:space="preserve">œuvre sur la </w:t>
            </w:r>
            <w:r w:rsidR="0096523C">
              <w:rPr>
                <w:sz w:val="24"/>
                <w:szCs w:val="24"/>
              </w:rPr>
              <w:t>durée</w:t>
            </w:r>
            <w:r w:rsidR="005F2545">
              <w:rPr>
                <w:sz w:val="24"/>
                <w:szCs w:val="24"/>
              </w:rPr>
              <w:t xml:space="preserve"> de la mission</w:t>
            </w:r>
          </w:p>
        </w:tc>
        <w:tc>
          <w:tcPr>
            <w:tcW w:w="2835" w:type="dxa"/>
            <w:tcBorders>
              <w:top w:val="single" w:sz="4" w:space="0" w:color="auto"/>
              <w:left w:val="single" w:sz="4" w:space="0" w:color="auto"/>
              <w:bottom w:val="single" w:sz="4" w:space="0" w:color="auto"/>
              <w:right w:val="single" w:sz="4" w:space="0" w:color="auto"/>
            </w:tcBorders>
          </w:tcPr>
          <w:p w14:paraId="597B0040" w14:textId="36AEE719" w:rsidR="0066101A" w:rsidRPr="009A78FC" w:rsidRDefault="0096523C" w:rsidP="00D76095">
            <w:pPr>
              <w:tabs>
                <w:tab w:val="left" w:pos="360"/>
              </w:tabs>
              <w:spacing w:line="276" w:lineRule="auto"/>
              <w:rPr>
                <w:sz w:val="24"/>
                <w:szCs w:val="24"/>
              </w:rPr>
            </w:pPr>
            <w:r>
              <w:rPr>
                <w:sz w:val="24"/>
                <w:szCs w:val="24"/>
              </w:rPr>
              <w:t xml:space="preserve">Un mois </w:t>
            </w:r>
            <w:r w:rsidRPr="009A78FC">
              <w:rPr>
                <w:sz w:val="24"/>
                <w:szCs w:val="24"/>
              </w:rPr>
              <w:t>après la réunion de démarrage</w:t>
            </w:r>
          </w:p>
        </w:tc>
        <w:tc>
          <w:tcPr>
            <w:tcW w:w="2835" w:type="dxa"/>
            <w:tcBorders>
              <w:top w:val="single" w:sz="4" w:space="0" w:color="auto"/>
              <w:left w:val="single" w:sz="4" w:space="0" w:color="auto"/>
              <w:bottom w:val="single" w:sz="4" w:space="0" w:color="auto"/>
              <w:right w:val="single" w:sz="4" w:space="0" w:color="auto"/>
            </w:tcBorders>
          </w:tcPr>
          <w:p w14:paraId="5EC5865E" w14:textId="0B07D163" w:rsidR="0066101A" w:rsidRPr="009A78FC" w:rsidRDefault="007F574E" w:rsidP="00D76095">
            <w:pPr>
              <w:tabs>
                <w:tab w:val="left" w:pos="360"/>
              </w:tabs>
              <w:spacing w:line="276" w:lineRule="auto"/>
              <w:rPr>
                <w:sz w:val="24"/>
                <w:szCs w:val="24"/>
              </w:rPr>
            </w:pPr>
            <w:r>
              <w:rPr>
                <w:sz w:val="24"/>
                <w:szCs w:val="24"/>
              </w:rPr>
              <w:t>1</w:t>
            </w:r>
            <w:r w:rsidR="002F50EA">
              <w:rPr>
                <w:sz w:val="24"/>
                <w:szCs w:val="24"/>
              </w:rPr>
              <w:t>0</w:t>
            </w:r>
            <w:r>
              <w:rPr>
                <w:sz w:val="24"/>
                <w:szCs w:val="24"/>
              </w:rPr>
              <w:t>% d</w:t>
            </w:r>
            <w:r w:rsidRPr="009A78FC">
              <w:rPr>
                <w:sz w:val="24"/>
                <w:szCs w:val="24"/>
              </w:rPr>
              <w:t xml:space="preserve">u montant du contrat à </w:t>
            </w:r>
            <w:r w:rsidR="00FE2A70">
              <w:rPr>
                <w:sz w:val="24"/>
                <w:szCs w:val="24"/>
              </w:rPr>
              <w:t>l’approbation</w:t>
            </w:r>
            <w:r w:rsidR="009D4EBE">
              <w:rPr>
                <w:sz w:val="24"/>
                <w:szCs w:val="24"/>
              </w:rPr>
              <w:t xml:space="preserve"> </w:t>
            </w:r>
            <w:r w:rsidR="00010A79">
              <w:rPr>
                <w:sz w:val="24"/>
                <w:szCs w:val="24"/>
              </w:rPr>
              <w:t>du livrable</w:t>
            </w:r>
          </w:p>
        </w:tc>
      </w:tr>
      <w:tr w:rsidR="00171892" w:rsidRPr="009A78FC" w14:paraId="46616F29" w14:textId="77777777" w:rsidTr="00D51597">
        <w:tc>
          <w:tcPr>
            <w:tcW w:w="4390" w:type="dxa"/>
            <w:tcBorders>
              <w:top w:val="single" w:sz="4" w:space="0" w:color="auto"/>
              <w:left w:val="single" w:sz="4" w:space="0" w:color="auto"/>
              <w:bottom w:val="single" w:sz="4" w:space="0" w:color="auto"/>
              <w:right w:val="single" w:sz="4" w:space="0" w:color="auto"/>
            </w:tcBorders>
          </w:tcPr>
          <w:p w14:paraId="2BE584EF" w14:textId="2276A988" w:rsidR="00171892" w:rsidRPr="009A78FC" w:rsidRDefault="00BB0E2B" w:rsidP="007E0A9A">
            <w:pPr>
              <w:rPr>
                <w:b/>
                <w:sz w:val="24"/>
                <w:szCs w:val="24"/>
                <w:lang w:eastAsia="fr-FR"/>
              </w:rPr>
            </w:pPr>
            <w:r w:rsidRPr="009A78FC">
              <w:rPr>
                <w:b/>
                <w:sz w:val="24"/>
                <w:szCs w:val="24"/>
                <w:lang w:eastAsia="fr-FR"/>
              </w:rPr>
              <w:t xml:space="preserve">Livrable </w:t>
            </w:r>
            <w:r w:rsidR="00D15838">
              <w:rPr>
                <w:b/>
                <w:sz w:val="24"/>
                <w:szCs w:val="24"/>
                <w:lang w:eastAsia="fr-FR"/>
              </w:rPr>
              <w:t>3</w:t>
            </w:r>
            <w:r w:rsidR="00171892" w:rsidRPr="009A78FC">
              <w:rPr>
                <w:b/>
                <w:sz w:val="24"/>
                <w:szCs w:val="24"/>
                <w:lang w:eastAsia="fr-FR"/>
              </w:rPr>
              <w:t xml:space="preserve"> : </w:t>
            </w:r>
            <w:r w:rsidR="003A6617">
              <w:rPr>
                <w:sz w:val="24"/>
                <w:szCs w:val="24"/>
              </w:rPr>
              <w:t xml:space="preserve">Le rapport </w:t>
            </w:r>
            <w:r w:rsidR="00BB5F68">
              <w:rPr>
                <w:sz w:val="24"/>
                <w:szCs w:val="24"/>
              </w:rPr>
              <w:t xml:space="preserve">final </w:t>
            </w:r>
            <w:r w:rsidR="003A6617">
              <w:rPr>
                <w:sz w:val="24"/>
                <w:szCs w:val="24"/>
              </w:rPr>
              <w:t>de l’inventaire national des émissions de GES</w:t>
            </w:r>
            <w:r w:rsidR="00753532">
              <w:rPr>
                <w:sz w:val="24"/>
                <w:szCs w:val="24"/>
              </w:rPr>
              <w:t xml:space="preserve"> (y compris le processus de collecte des données notamment le bilan énergétique)</w:t>
            </w:r>
            <w:r w:rsidR="003A6617">
              <w:rPr>
                <w:sz w:val="24"/>
                <w:szCs w:val="24"/>
              </w:rPr>
              <w:t> </w:t>
            </w:r>
            <w:r w:rsidR="003A6617" w:rsidRPr="009A78FC" w:rsidDel="005E3EA8">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F299B5E" w14:textId="1AF524DE" w:rsidR="00171892" w:rsidRPr="009A78FC" w:rsidRDefault="00D15838" w:rsidP="00D76095">
            <w:pPr>
              <w:tabs>
                <w:tab w:val="left" w:pos="360"/>
              </w:tabs>
              <w:spacing w:line="276" w:lineRule="auto"/>
              <w:rPr>
                <w:sz w:val="24"/>
                <w:szCs w:val="24"/>
              </w:rPr>
            </w:pPr>
            <w:r>
              <w:rPr>
                <w:sz w:val="24"/>
                <w:szCs w:val="24"/>
              </w:rPr>
              <w:t xml:space="preserve">3 </w:t>
            </w:r>
            <w:r w:rsidRPr="009A78FC">
              <w:rPr>
                <w:sz w:val="24"/>
                <w:szCs w:val="24"/>
              </w:rPr>
              <w:t>mois</w:t>
            </w:r>
            <w:r w:rsidR="00171892" w:rsidRPr="009A78FC">
              <w:rPr>
                <w:sz w:val="24"/>
                <w:szCs w:val="24"/>
              </w:rPr>
              <w:t xml:space="preserve"> à compter de la date de tenue de la réunion de démarrage</w:t>
            </w:r>
          </w:p>
        </w:tc>
        <w:tc>
          <w:tcPr>
            <w:tcW w:w="2835" w:type="dxa"/>
            <w:tcBorders>
              <w:top w:val="single" w:sz="4" w:space="0" w:color="auto"/>
              <w:left w:val="single" w:sz="4" w:space="0" w:color="auto"/>
              <w:bottom w:val="single" w:sz="4" w:space="0" w:color="auto"/>
              <w:right w:val="single" w:sz="4" w:space="0" w:color="auto"/>
            </w:tcBorders>
            <w:hideMark/>
          </w:tcPr>
          <w:p w14:paraId="1A3A371F" w14:textId="447455F3" w:rsidR="00171892" w:rsidRPr="009A78FC" w:rsidRDefault="00DA467C" w:rsidP="00D76095">
            <w:pPr>
              <w:tabs>
                <w:tab w:val="left" w:pos="360"/>
              </w:tabs>
              <w:spacing w:line="276" w:lineRule="auto"/>
              <w:rPr>
                <w:sz w:val="24"/>
                <w:szCs w:val="24"/>
              </w:rPr>
            </w:pPr>
            <w:r>
              <w:rPr>
                <w:sz w:val="24"/>
                <w:szCs w:val="24"/>
              </w:rPr>
              <w:t>15</w:t>
            </w:r>
            <w:r w:rsidR="00171892" w:rsidRPr="009A78FC">
              <w:rPr>
                <w:sz w:val="24"/>
                <w:szCs w:val="24"/>
              </w:rPr>
              <w:t xml:space="preserve"> % du montant du contrat après approbation</w:t>
            </w:r>
            <w:r w:rsidR="00010A79">
              <w:rPr>
                <w:sz w:val="24"/>
                <w:szCs w:val="24"/>
              </w:rPr>
              <w:t xml:space="preserve"> du livrable</w:t>
            </w:r>
          </w:p>
        </w:tc>
      </w:tr>
      <w:tr w:rsidR="000F5377" w:rsidRPr="009A78FC" w14:paraId="37E96312" w14:textId="77777777" w:rsidTr="00D51597">
        <w:tc>
          <w:tcPr>
            <w:tcW w:w="4390" w:type="dxa"/>
            <w:tcBorders>
              <w:top w:val="single" w:sz="4" w:space="0" w:color="auto"/>
              <w:left w:val="single" w:sz="4" w:space="0" w:color="auto"/>
              <w:bottom w:val="single" w:sz="4" w:space="0" w:color="auto"/>
              <w:right w:val="single" w:sz="4" w:space="0" w:color="auto"/>
            </w:tcBorders>
          </w:tcPr>
          <w:p w14:paraId="158A5115" w14:textId="4994180A" w:rsidR="000F5377" w:rsidRPr="009A78FC" w:rsidRDefault="000F5377" w:rsidP="000F5377">
            <w:pPr>
              <w:rPr>
                <w:b/>
                <w:sz w:val="24"/>
                <w:szCs w:val="24"/>
                <w:lang w:eastAsia="fr-FR"/>
              </w:rPr>
            </w:pPr>
            <w:r w:rsidRPr="009A78FC">
              <w:rPr>
                <w:b/>
                <w:sz w:val="24"/>
                <w:szCs w:val="24"/>
                <w:lang w:eastAsia="fr-FR"/>
              </w:rPr>
              <w:t xml:space="preserve">Livrable </w:t>
            </w:r>
            <w:r w:rsidR="00D15838">
              <w:rPr>
                <w:b/>
                <w:sz w:val="24"/>
                <w:szCs w:val="24"/>
                <w:lang w:eastAsia="fr-FR"/>
              </w:rPr>
              <w:t>4</w:t>
            </w:r>
            <w:r w:rsidRPr="009A78FC">
              <w:rPr>
                <w:b/>
                <w:sz w:val="24"/>
                <w:szCs w:val="24"/>
                <w:lang w:eastAsia="fr-FR"/>
              </w:rPr>
              <w:t xml:space="preserve"> : </w:t>
            </w:r>
            <w:r>
              <w:rPr>
                <w:sz w:val="24"/>
                <w:szCs w:val="24"/>
              </w:rPr>
              <w:t>Le</w:t>
            </w:r>
            <w:r w:rsidRPr="00034B8D">
              <w:rPr>
                <w:sz w:val="24"/>
                <w:szCs w:val="24"/>
              </w:rPr>
              <w:t xml:space="preserve"> rapport </w:t>
            </w:r>
            <w:r>
              <w:rPr>
                <w:sz w:val="24"/>
                <w:szCs w:val="24"/>
              </w:rPr>
              <w:t>draft</w:t>
            </w:r>
            <w:r w:rsidRPr="00034B8D">
              <w:rPr>
                <w:sz w:val="24"/>
                <w:szCs w:val="24"/>
              </w:rPr>
              <w:t xml:space="preserve"> détaillé sur la mise à jour de la CDN dans le domaine de l’atténuation</w:t>
            </w:r>
            <w:r>
              <w:rPr>
                <w:sz w:val="24"/>
                <w:szCs w:val="24"/>
              </w:rPr>
              <w:t xml:space="preserve"> incluant </w:t>
            </w:r>
            <w:r w:rsidRPr="00034B8D" w:rsidDel="00C3528A">
              <w:rPr>
                <w:sz w:val="24"/>
                <w:szCs w:val="24"/>
              </w:rPr>
              <w:t>l’évaluation des besoins de financement, l’évaluation des impacts</w:t>
            </w:r>
            <w:r>
              <w:rPr>
                <w:sz w:val="24"/>
                <w:szCs w:val="24"/>
              </w:rPr>
              <w:t>, y compris l’égalité genre</w:t>
            </w:r>
            <w:r w:rsidRPr="00034B8D" w:rsidDel="00C3528A">
              <w:rPr>
                <w:sz w:val="24"/>
                <w:szCs w:val="24"/>
              </w:rPr>
              <w:t>, la mise en place d’un système MRV, et des indicateurs de suivi de la CDN</w:t>
            </w:r>
            <w:r>
              <w:rPr>
                <w:sz w:val="24"/>
                <w:szCs w:val="24"/>
              </w:rPr>
              <w:t> </w:t>
            </w:r>
          </w:p>
        </w:tc>
        <w:tc>
          <w:tcPr>
            <w:tcW w:w="2835" w:type="dxa"/>
            <w:tcBorders>
              <w:top w:val="single" w:sz="4" w:space="0" w:color="auto"/>
              <w:left w:val="single" w:sz="4" w:space="0" w:color="auto"/>
              <w:bottom w:val="single" w:sz="4" w:space="0" w:color="auto"/>
              <w:right w:val="single" w:sz="4" w:space="0" w:color="auto"/>
            </w:tcBorders>
          </w:tcPr>
          <w:p w14:paraId="76554786" w14:textId="0C03C1E3" w:rsidR="000F5377" w:rsidRPr="009A78FC" w:rsidDel="00EA38DA" w:rsidRDefault="000F5377" w:rsidP="000F5377">
            <w:pPr>
              <w:tabs>
                <w:tab w:val="left" w:pos="360"/>
              </w:tabs>
              <w:spacing w:line="276" w:lineRule="auto"/>
              <w:rPr>
                <w:sz w:val="24"/>
                <w:szCs w:val="24"/>
              </w:rPr>
            </w:pPr>
            <w:r>
              <w:rPr>
                <w:sz w:val="24"/>
                <w:szCs w:val="24"/>
              </w:rPr>
              <w:t>4</w:t>
            </w:r>
            <w:r w:rsidRPr="009A78FC">
              <w:rPr>
                <w:sz w:val="24"/>
                <w:szCs w:val="24"/>
              </w:rPr>
              <w:t xml:space="preserve"> mois à compter de la date de tenue de la réunion de démarrage</w:t>
            </w:r>
          </w:p>
        </w:tc>
        <w:tc>
          <w:tcPr>
            <w:tcW w:w="2835" w:type="dxa"/>
            <w:tcBorders>
              <w:top w:val="single" w:sz="4" w:space="0" w:color="auto"/>
              <w:left w:val="single" w:sz="4" w:space="0" w:color="auto"/>
              <w:bottom w:val="single" w:sz="4" w:space="0" w:color="auto"/>
              <w:right w:val="single" w:sz="4" w:space="0" w:color="auto"/>
            </w:tcBorders>
          </w:tcPr>
          <w:p w14:paraId="40A5E906" w14:textId="1AB89300" w:rsidR="000F5377" w:rsidRDefault="00950CCF" w:rsidP="000F5377">
            <w:pPr>
              <w:tabs>
                <w:tab w:val="left" w:pos="360"/>
              </w:tabs>
              <w:spacing w:line="276" w:lineRule="auto"/>
              <w:rPr>
                <w:sz w:val="24"/>
                <w:szCs w:val="24"/>
              </w:rPr>
            </w:pPr>
            <w:r>
              <w:rPr>
                <w:sz w:val="24"/>
                <w:szCs w:val="24"/>
              </w:rPr>
              <w:t xml:space="preserve">15% </w:t>
            </w:r>
            <w:r w:rsidRPr="009A78FC">
              <w:rPr>
                <w:sz w:val="24"/>
                <w:szCs w:val="24"/>
              </w:rPr>
              <w:t xml:space="preserve">du montant du contrat </w:t>
            </w:r>
            <w:r>
              <w:rPr>
                <w:sz w:val="24"/>
                <w:szCs w:val="24"/>
              </w:rPr>
              <w:t>a la soumission</w:t>
            </w:r>
            <w:r w:rsidR="00010A79">
              <w:rPr>
                <w:sz w:val="24"/>
                <w:szCs w:val="24"/>
              </w:rPr>
              <w:t xml:space="preserve"> du livrable</w:t>
            </w:r>
          </w:p>
        </w:tc>
      </w:tr>
      <w:tr w:rsidR="00171892" w:rsidRPr="009A78FC" w14:paraId="689EEEBC" w14:textId="77777777" w:rsidTr="00D51597">
        <w:tc>
          <w:tcPr>
            <w:tcW w:w="4390" w:type="dxa"/>
            <w:tcBorders>
              <w:top w:val="single" w:sz="4" w:space="0" w:color="auto"/>
              <w:left w:val="single" w:sz="4" w:space="0" w:color="auto"/>
              <w:bottom w:val="single" w:sz="4" w:space="0" w:color="auto"/>
              <w:right w:val="single" w:sz="4" w:space="0" w:color="auto"/>
            </w:tcBorders>
          </w:tcPr>
          <w:p w14:paraId="1248DD5A" w14:textId="516B04BC" w:rsidR="00E10539" w:rsidRPr="006966F7" w:rsidRDefault="00BB0E2B" w:rsidP="00CC66B2">
            <w:pPr>
              <w:rPr>
                <w:b/>
                <w:sz w:val="24"/>
                <w:szCs w:val="24"/>
                <w:lang w:eastAsia="fr-FR"/>
              </w:rPr>
            </w:pPr>
            <w:r w:rsidRPr="00945D08">
              <w:rPr>
                <w:b/>
                <w:sz w:val="24"/>
                <w:szCs w:val="24"/>
                <w:lang w:eastAsia="fr-FR"/>
              </w:rPr>
              <w:t xml:space="preserve">Livrable </w:t>
            </w:r>
            <w:r w:rsidR="00D15838">
              <w:rPr>
                <w:b/>
                <w:sz w:val="24"/>
                <w:szCs w:val="24"/>
                <w:lang w:eastAsia="fr-FR"/>
              </w:rPr>
              <w:t>5</w:t>
            </w:r>
            <w:r w:rsidR="003D1247" w:rsidRPr="006966F7">
              <w:rPr>
                <w:b/>
                <w:sz w:val="24"/>
                <w:szCs w:val="24"/>
                <w:lang w:eastAsia="fr-FR"/>
              </w:rPr>
              <w:t> </w:t>
            </w:r>
            <w:r w:rsidR="00171892" w:rsidRPr="006966F7">
              <w:rPr>
                <w:b/>
                <w:sz w:val="24"/>
                <w:szCs w:val="24"/>
                <w:lang w:eastAsia="fr-FR"/>
              </w:rPr>
              <w:t xml:space="preserve">: </w:t>
            </w:r>
          </w:p>
          <w:p w14:paraId="0B67AB47" w14:textId="23EFE7ED" w:rsidR="00E10539" w:rsidRPr="006966F7" w:rsidRDefault="00E10539" w:rsidP="00836691">
            <w:pPr>
              <w:rPr>
                <w:rFonts w:ascii="Cambria" w:eastAsia="MS Mincho" w:hAnsi="Cambria"/>
                <w:sz w:val="24"/>
                <w:szCs w:val="24"/>
              </w:rPr>
            </w:pPr>
            <w:r w:rsidRPr="006966F7">
              <w:rPr>
                <w:b/>
                <w:sz w:val="24"/>
                <w:szCs w:val="24"/>
                <w:lang w:eastAsia="fr-FR"/>
              </w:rPr>
              <w:t>L</w:t>
            </w:r>
            <w:r w:rsidR="003D1247" w:rsidRPr="006966F7">
              <w:rPr>
                <w:b/>
                <w:sz w:val="24"/>
                <w:szCs w:val="24"/>
                <w:lang w:eastAsia="fr-FR"/>
              </w:rPr>
              <w:t>4</w:t>
            </w:r>
            <w:r w:rsidRPr="006966F7">
              <w:rPr>
                <w:b/>
                <w:sz w:val="24"/>
                <w:szCs w:val="24"/>
                <w:lang w:eastAsia="fr-FR"/>
              </w:rPr>
              <w:t xml:space="preserve">.1 </w:t>
            </w:r>
            <w:r w:rsidR="00035E20" w:rsidRPr="006966F7">
              <w:rPr>
                <w:sz w:val="24"/>
                <w:szCs w:val="24"/>
              </w:rPr>
              <w:t xml:space="preserve">Le rapport final détaillé sur la mise à jour de la CDN dans le domaine de l’atténuation incluant </w:t>
            </w:r>
            <w:r w:rsidR="00035E20" w:rsidRPr="006966F7" w:rsidDel="00C3528A">
              <w:rPr>
                <w:sz w:val="24"/>
                <w:szCs w:val="24"/>
              </w:rPr>
              <w:t>l’évaluation des besoins de financement, l’évaluation des impacts</w:t>
            </w:r>
            <w:r w:rsidR="00035E20" w:rsidRPr="006966F7">
              <w:rPr>
                <w:sz w:val="24"/>
                <w:szCs w:val="24"/>
              </w:rPr>
              <w:t>, y compris l’égalité genre</w:t>
            </w:r>
            <w:r w:rsidR="00035E20" w:rsidRPr="006966F7" w:rsidDel="00C3528A">
              <w:rPr>
                <w:sz w:val="24"/>
                <w:szCs w:val="24"/>
              </w:rPr>
              <w:t>, la mise en place d’un système MRV, et des indicateurs de suivi de la CDN</w:t>
            </w:r>
            <w:r w:rsidR="00035E20" w:rsidRPr="006966F7">
              <w:rPr>
                <w:sz w:val="24"/>
                <w:szCs w:val="24"/>
              </w:rPr>
              <w:t> </w:t>
            </w:r>
            <w:r w:rsidR="00035E20" w:rsidRPr="006966F7" w:rsidDel="00836691">
              <w:rPr>
                <w:sz w:val="24"/>
                <w:szCs w:val="24"/>
              </w:rPr>
              <w:t xml:space="preserve"> </w:t>
            </w:r>
          </w:p>
          <w:p w14:paraId="46C03940" w14:textId="11A1769E" w:rsidR="00171892" w:rsidRPr="009A78FC" w:rsidRDefault="00E10539" w:rsidP="001268D3">
            <w:pPr>
              <w:rPr>
                <w:b/>
                <w:sz w:val="24"/>
                <w:szCs w:val="24"/>
                <w:lang w:eastAsia="fr-FR"/>
              </w:rPr>
            </w:pPr>
            <w:r w:rsidRPr="006966F7">
              <w:rPr>
                <w:b/>
                <w:sz w:val="24"/>
                <w:szCs w:val="24"/>
                <w:lang w:eastAsia="fr-FR"/>
              </w:rPr>
              <w:t>L</w:t>
            </w:r>
            <w:r w:rsidR="003D1247" w:rsidRPr="006966F7">
              <w:rPr>
                <w:b/>
                <w:sz w:val="24"/>
                <w:szCs w:val="24"/>
                <w:lang w:eastAsia="fr-FR"/>
              </w:rPr>
              <w:t>4</w:t>
            </w:r>
            <w:r w:rsidRPr="006966F7">
              <w:rPr>
                <w:b/>
                <w:sz w:val="24"/>
                <w:szCs w:val="24"/>
                <w:lang w:eastAsia="fr-FR"/>
              </w:rPr>
              <w:t>.2</w:t>
            </w:r>
            <w:r w:rsidRPr="006966F7">
              <w:rPr>
                <w:rFonts w:ascii="Cambria" w:eastAsia="MS Mincho" w:hAnsi="Cambria"/>
                <w:sz w:val="24"/>
                <w:szCs w:val="24"/>
              </w:rPr>
              <w:t xml:space="preserve"> </w:t>
            </w:r>
            <w:r w:rsidRPr="006966F7">
              <w:rPr>
                <w:sz w:val="24"/>
                <w:szCs w:val="24"/>
              </w:rPr>
              <w:t xml:space="preserve">Le rapport détaillé consolidé de la CDN pour les deux volets atténuation et adaptation avec tous ses chapitres, y compris </w:t>
            </w:r>
            <w:r w:rsidRPr="00686561">
              <w:rPr>
                <w:sz w:val="24"/>
                <w:szCs w:val="24"/>
              </w:rPr>
              <w:t>un chapitre sur la synergie entre adaptation et atténuation</w:t>
            </w:r>
            <w:r w:rsidRPr="00B43F8F">
              <w:rPr>
                <w:sz w:val="24"/>
                <w:szCs w:val="24"/>
              </w:rPr>
              <w:t xml:space="preserve"> avec le résumé de la CDN consolidée à soumettre au secrétariat de la CCNUCC (en français, anglais et portugais</w:t>
            </w:r>
          </w:p>
        </w:tc>
        <w:tc>
          <w:tcPr>
            <w:tcW w:w="2835" w:type="dxa"/>
            <w:tcBorders>
              <w:top w:val="single" w:sz="4" w:space="0" w:color="auto"/>
              <w:left w:val="single" w:sz="4" w:space="0" w:color="auto"/>
              <w:bottom w:val="single" w:sz="4" w:space="0" w:color="auto"/>
              <w:right w:val="single" w:sz="4" w:space="0" w:color="auto"/>
            </w:tcBorders>
            <w:hideMark/>
          </w:tcPr>
          <w:p w14:paraId="57613081" w14:textId="13860BAF" w:rsidR="00171892" w:rsidRPr="009A78FC" w:rsidRDefault="00EA38DA" w:rsidP="00D76095">
            <w:pPr>
              <w:tabs>
                <w:tab w:val="left" w:pos="360"/>
              </w:tabs>
              <w:spacing w:line="276" w:lineRule="auto"/>
              <w:rPr>
                <w:sz w:val="24"/>
                <w:szCs w:val="24"/>
              </w:rPr>
            </w:pPr>
            <w:r>
              <w:rPr>
                <w:sz w:val="24"/>
                <w:szCs w:val="24"/>
              </w:rPr>
              <w:t xml:space="preserve">Octobre 2021 </w:t>
            </w:r>
            <w:r w:rsidR="00406686">
              <w:rPr>
                <w:sz w:val="24"/>
                <w:szCs w:val="24"/>
              </w:rPr>
              <w:t xml:space="preserve">avant la COP26. </w:t>
            </w:r>
          </w:p>
        </w:tc>
        <w:tc>
          <w:tcPr>
            <w:tcW w:w="2835" w:type="dxa"/>
            <w:tcBorders>
              <w:top w:val="single" w:sz="4" w:space="0" w:color="auto"/>
              <w:left w:val="single" w:sz="4" w:space="0" w:color="auto"/>
              <w:bottom w:val="single" w:sz="4" w:space="0" w:color="auto"/>
              <w:right w:val="single" w:sz="4" w:space="0" w:color="auto"/>
            </w:tcBorders>
            <w:hideMark/>
          </w:tcPr>
          <w:p w14:paraId="468EA00D" w14:textId="439E5EC2" w:rsidR="00171892" w:rsidRPr="009A78FC" w:rsidRDefault="006D6EE1" w:rsidP="00D76095">
            <w:pPr>
              <w:tabs>
                <w:tab w:val="left" w:pos="360"/>
              </w:tabs>
              <w:spacing w:line="276" w:lineRule="auto"/>
              <w:rPr>
                <w:sz w:val="24"/>
                <w:szCs w:val="24"/>
              </w:rPr>
            </w:pPr>
            <w:r>
              <w:rPr>
                <w:sz w:val="24"/>
                <w:szCs w:val="24"/>
              </w:rPr>
              <w:t>2</w:t>
            </w:r>
            <w:r w:rsidR="00CF6170">
              <w:rPr>
                <w:sz w:val="24"/>
                <w:szCs w:val="24"/>
              </w:rPr>
              <w:t>5</w:t>
            </w:r>
            <w:r w:rsidR="004D55BD" w:rsidRPr="009A78FC">
              <w:rPr>
                <w:sz w:val="24"/>
                <w:szCs w:val="24"/>
              </w:rPr>
              <w:t xml:space="preserve"> </w:t>
            </w:r>
            <w:r w:rsidR="00171892" w:rsidRPr="009A78FC">
              <w:rPr>
                <w:sz w:val="24"/>
                <w:szCs w:val="24"/>
              </w:rPr>
              <w:t>% du montant du contrat après approbation</w:t>
            </w:r>
            <w:r w:rsidR="00010A79">
              <w:rPr>
                <w:sz w:val="24"/>
                <w:szCs w:val="24"/>
              </w:rPr>
              <w:t xml:space="preserve"> du livrable</w:t>
            </w:r>
          </w:p>
        </w:tc>
      </w:tr>
      <w:tr w:rsidR="0028582E" w:rsidRPr="009A78FC" w14:paraId="2A355EC6" w14:textId="77777777" w:rsidTr="007F4800">
        <w:tc>
          <w:tcPr>
            <w:tcW w:w="4390" w:type="dxa"/>
            <w:tcBorders>
              <w:top w:val="single" w:sz="4" w:space="0" w:color="auto"/>
              <w:left w:val="single" w:sz="4" w:space="0" w:color="auto"/>
              <w:bottom w:val="single" w:sz="4" w:space="0" w:color="auto"/>
              <w:right w:val="single" w:sz="4" w:space="0" w:color="auto"/>
            </w:tcBorders>
          </w:tcPr>
          <w:p w14:paraId="5DF4316B" w14:textId="7A504876" w:rsidR="0028582E" w:rsidRDefault="0028582E" w:rsidP="00541020">
            <w:pPr>
              <w:jc w:val="both"/>
              <w:rPr>
                <w:b/>
                <w:sz w:val="24"/>
                <w:szCs w:val="24"/>
                <w:lang w:eastAsia="fr-FR"/>
              </w:rPr>
            </w:pPr>
            <w:r>
              <w:rPr>
                <w:b/>
                <w:sz w:val="24"/>
                <w:szCs w:val="24"/>
                <w:lang w:eastAsia="fr-FR"/>
              </w:rPr>
              <w:t xml:space="preserve">Livrable </w:t>
            </w:r>
            <w:r w:rsidR="00D15838">
              <w:rPr>
                <w:b/>
                <w:sz w:val="24"/>
                <w:szCs w:val="24"/>
                <w:lang w:eastAsia="fr-FR"/>
              </w:rPr>
              <w:t>6</w:t>
            </w:r>
          </w:p>
          <w:p w14:paraId="38486326" w14:textId="7C18BCD2" w:rsidR="0028582E" w:rsidRDefault="0028582E" w:rsidP="00541020">
            <w:pPr>
              <w:jc w:val="both"/>
              <w:rPr>
                <w:b/>
                <w:sz w:val="24"/>
                <w:szCs w:val="24"/>
                <w:lang w:eastAsia="fr-FR"/>
              </w:rPr>
            </w:pPr>
            <w:r w:rsidRPr="00B43F8F">
              <w:rPr>
                <w:sz w:val="24"/>
                <w:szCs w:val="24"/>
              </w:rPr>
              <w:t>Un rapport sur la mise en place d’un système national de l’inventaire des émissions de GES</w:t>
            </w:r>
          </w:p>
        </w:tc>
        <w:tc>
          <w:tcPr>
            <w:tcW w:w="2835" w:type="dxa"/>
            <w:tcBorders>
              <w:top w:val="single" w:sz="4" w:space="0" w:color="auto"/>
              <w:left w:val="single" w:sz="4" w:space="0" w:color="auto"/>
              <w:bottom w:val="single" w:sz="4" w:space="0" w:color="auto"/>
              <w:right w:val="single" w:sz="4" w:space="0" w:color="auto"/>
            </w:tcBorders>
          </w:tcPr>
          <w:p w14:paraId="4C108CAF" w14:textId="2F2127F4" w:rsidR="0028582E" w:rsidRDefault="00734FFE" w:rsidP="005F4500">
            <w:pPr>
              <w:tabs>
                <w:tab w:val="left" w:pos="360"/>
              </w:tabs>
              <w:spacing w:line="276" w:lineRule="auto"/>
              <w:rPr>
                <w:sz w:val="24"/>
                <w:szCs w:val="24"/>
              </w:rPr>
            </w:pPr>
            <w:r>
              <w:rPr>
                <w:sz w:val="24"/>
                <w:szCs w:val="24"/>
              </w:rPr>
              <w:t xml:space="preserve">7 mois </w:t>
            </w:r>
            <w:r w:rsidRPr="009A78FC">
              <w:rPr>
                <w:sz w:val="24"/>
                <w:szCs w:val="24"/>
              </w:rPr>
              <w:t>à compter de la date de tenue de la réunion de démarrage</w:t>
            </w:r>
          </w:p>
        </w:tc>
        <w:tc>
          <w:tcPr>
            <w:tcW w:w="2835" w:type="dxa"/>
            <w:tcBorders>
              <w:top w:val="single" w:sz="4" w:space="0" w:color="auto"/>
              <w:left w:val="single" w:sz="4" w:space="0" w:color="auto"/>
              <w:bottom w:val="single" w:sz="4" w:space="0" w:color="auto"/>
              <w:right w:val="single" w:sz="4" w:space="0" w:color="auto"/>
            </w:tcBorders>
            <w:vAlign w:val="center"/>
          </w:tcPr>
          <w:p w14:paraId="31F1F449" w14:textId="4C961B64" w:rsidR="0028582E" w:rsidRDefault="005F75F1" w:rsidP="0033657B">
            <w:pPr>
              <w:tabs>
                <w:tab w:val="left" w:pos="360"/>
              </w:tabs>
              <w:spacing w:line="360" w:lineRule="auto"/>
              <w:jc w:val="both"/>
              <w:rPr>
                <w:sz w:val="24"/>
                <w:szCs w:val="24"/>
              </w:rPr>
            </w:pPr>
            <w:r>
              <w:rPr>
                <w:sz w:val="24"/>
                <w:szCs w:val="24"/>
              </w:rPr>
              <w:t>10%</w:t>
            </w:r>
            <w:r w:rsidR="007D0990">
              <w:rPr>
                <w:sz w:val="24"/>
                <w:szCs w:val="24"/>
              </w:rPr>
              <w:t xml:space="preserve"> </w:t>
            </w:r>
            <w:r w:rsidR="007D0990" w:rsidRPr="009A78FC">
              <w:rPr>
                <w:sz w:val="24"/>
                <w:szCs w:val="24"/>
              </w:rPr>
              <w:t>du montant du contrat après approbation</w:t>
            </w:r>
            <w:r w:rsidR="00083910">
              <w:rPr>
                <w:sz w:val="24"/>
                <w:szCs w:val="24"/>
              </w:rPr>
              <w:t xml:space="preserve"> du livrable</w:t>
            </w:r>
          </w:p>
        </w:tc>
      </w:tr>
      <w:tr w:rsidR="0028582E" w:rsidRPr="009A78FC" w14:paraId="28EA88D7" w14:textId="77777777" w:rsidTr="007F4800">
        <w:tc>
          <w:tcPr>
            <w:tcW w:w="4390" w:type="dxa"/>
            <w:tcBorders>
              <w:top w:val="single" w:sz="4" w:space="0" w:color="auto"/>
              <w:left w:val="single" w:sz="4" w:space="0" w:color="auto"/>
              <w:bottom w:val="single" w:sz="4" w:space="0" w:color="auto"/>
              <w:right w:val="single" w:sz="4" w:space="0" w:color="auto"/>
            </w:tcBorders>
          </w:tcPr>
          <w:p w14:paraId="420107B0" w14:textId="74F8D87E" w:rsidR="0028582E" w:rsidRDefault="0044265A" w:rsidP="00541020">
            <w:pPr>
              <w:jc w:val="both"/>
              <w:rPr>
                <w:b/>
                <w:sz w:val="24"/>
                <w:szCs w:val="24"/>
                <w:lang w:eastAsia="fr-FR"/>
              </w:rPr>
            </w:pPr>
            <w:r>
              <w:rPr>
                <w:b/>
                <w:sz w:val="24"/>
                <w:szCs w:val="24"/>
                <w:lang w:eastAsia="fr-FR"/>
              </w:rPr>
              <w:t>Livrable</w:t>
            </w:r>
            <w:r w:rsidR="00042F2F">
              <w:rPr>
                <w:b/>
                <w:sz w:val="24"/>
                <w:szCs w:val="24"/>
                <w:lang w:eastAsia="fr-FR"/>
              </w:rPr>
              <w:t xml:space="preserve"> </w:t>
            </w:r>
            <w:r w:rsidR="00D15838">
              <w:rPr>
                <w:b/>
                <w:sz w:val="24"/>
                <w:szCs w:val="24"/>
                <w:lang w:eastAsia="fr-FR"/>
              </w:rPr>
              <w:t>7</w:t>
            </w:r>
          </w:p>
          <w:p w14:paraId="598A34B3" w14:textId="53C012AA" w:rsidR="0044265A" w:rsidRDefault="00965228" w:rsidP="00541020">
            <w:pPr>
              <w:jc w:val="both"/>
              <w:rPr>
                <w:sz w:val="24"/>
                <w:szCs w:val="24"/>
              </w:rPr>
            </w:pPr>
            <w:r w:rsidRPr="005F4500">
              <w:rPr>
                <w:b/>
                <w:bCs/>
                <w:sz w:val="24"/>
                <w:szCs w:val="24"/>
              </w:rPr>
              <w:t>L6.1</w:t>
            </w:r>
            <w:r>
              <w:rPr>
                <w:sz w:val="24"/>
                <w:szCs w:val="24"/>
              </w:rPr>
              <w:t xml:space="preserve"> </w:t>
            </w:r>
            <w:r w:rsidR="0044265A">
              <w:rPr>
                <w:sz w:val="24"/>
                <w:szCs w:val="24"/>
              </w:rPr>
              <w:t xml:space="preserve">Un rapport sur le renforcement des capacités y compris les cycles de formation </w:t>
            </w:r>
            <w:r w:rsidR="00211CF2">
              <w:rPr>
                <w:sz w:val="24"/>
                <w:szCs w:val="24"/>
              </w:rPr>
              <w:t>mis</w:t>
            </w:r>
            <w:r w:rsidR="0044265A">
              <w:rPr>
                <w:sz w:val="24"/>
                <w:szCs w:val="24"/>
              </w:rPr>
              <w:t xml:space="preserve"> en œuvre </w:t>
            </w:r>
          </w:p>
          <w:p w14:paraId="4C2B6F0E" w14:textId="09963CE8" w:rsidR="00965228" w:rsidRDefault="00965228" w:rsidP="00541020">
            <w:pPr>
              <w:jc w:val="both"/>
              <w:rPr>
                <w:b/>
                <w:sz w:val="24"/>
                <w:szCs w:val="24"/>
                <w:lang w:eastAsia="fr-FR"/>
              </w:rPr>
            </w:pPr>
            <w:r>
              <w:rPr>
                <w:b/>
                <w:sz w:val="24"/>
                <w:szCs w:val="24"/>
                <w:lang w:eastAsia="fr-FR"/>
              </w:rPr>
              <w:t xml:space="preserve">L6.2 </w:t>
            </w:r>
            <w:r w:rsidRPr="00B43F8F">
              <w:rPr>
                <w:sz w:val="24"/>
                <w:szCs w:val="24"/>
              </w:rPr>
              <w:t>L</w:t>
            </w:r>
            <w:r>
              <w:rPr>
                <w:sz w:val="24"/>
                <w:szCs w:val="24"/>
              </w:rPr>
              <w:t>e rapport de l</w:t>
            </w:r>
            <w:r w:rsidRPr="00B43F8F">
              <w:rPr>
                <w:sz w:val="24"/>
                <w:szCs w:val="24"/>
              </w:rPr>
              <w:t>a feuille de route pluriannuelle de la mise en œuvre de la CDN</w:t>
            </w:r>
            <w:r w:rsidR="006A4755">
              <w:rPr>
                <w:sz w:val="24"/>
                <w:szCs w:val="24"/>
              </w:rPr>
              <w:t xml:space="preserve"> mise </w:t>
            </w:r>
            <w:r w:rsidR="008D5A22">
              <w:rPr>
                <w:sz w:val="24"/>
                <w:szCs w:val="24"/>
              </w:rPr>
              <w:t>à</w:t>
            </w:r>
            <w:r w:rsidR="006A4755">
              <w:rPr>
                <w:sz w:val="24"/>
                <w:szCs w:val="24"/>
              </w:rPr>
              <w:t xml:space="preserve"> jour</w:t>
            </w:r>
            <w:r w:rsidR="00EE28F4">
              <w:rPr>
                <w:sz w:val="24"/>
                <w:szCs w:val="24"/>
              </w:rPr>
              <w:t xml:space="preserve"> pour le volet </w:t>
            </w:r>
            <w:r w:rsidR="00271308">
              <w:rPr>
                <w:sz w:val="24"/>
                <w:szCs w:val="24"/>
              </w:rPr>
              <w:t>atténuation</w:t>
            </w:r>
            <w:r w:rsidR="00EE28F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395053B6" w14:textId="74FAC3AD" w:rsidR="0028582E" w:rsidRDefault="00734FFE" w:rsidP="005F4500">
            <w:pPr>
              <w:tabs>
                <w:tab w:val="left" w:pos="360"/>
              </w:tabs>
              <w:spacing w:line="276" w:lineRule="auto"/>
              <w:rPr>
                <w:sz w:val="24"/>
                <w:szCs w:val="24"/>
              </w:rPr>
            </w:pPr>
            <w:r>
              <w:rPr>
                <w:sz w:val="24"/>
                <w:szCs w:val="24"/>
              </w:rPr>
              <w:t xml:space="preserve">9 mois </w:t>
            </w:r>
            <w:r w:rsidRPr="009A78FC">
              <w:rPr>
                <w:sz w:val="24"/>
                <w:szCs w:val="24"/>
              </w:rPr>
              <w:t>à compter de la date de tenue de la réunion de démarrage</w:t>
            </w:r>
          </w:p>
        </w:tc>
        <w:tc>
          <w:tcPr>
            <w:tcW w:w="2835" w:type="dxa"/>
            <w:tcBorders>
              <w:top w:val="single" w:sz="4" w:space="0" w:color="auto"/>
              <w:left w:val="single" w:sz="4" w:space="0" w:color="auto"/>
              <w:bottom w:val="single" w:sz="4" w:space="0" w:color="auto"/>
              <w:right w:val="single" w:sz="4" w:space="0" w:color="auto"/>
            </w:tcBorders>
            <w:vAlign w:val="center"/>
          </w:tcPr>
          <w:p w14:paraId="59A84EF9" w14:textId="5F9E0323" w:rsidR="0028582E" w:rsidRDefault="005F75F1" w:rsidP="0033657B">
            <w:pPr>
              <w:tabs>
                <w:tab w:val="left" w:pos="360"/>
              </w:tabs>
              <w:spacing w:line="360" w:lineRule="auto"/>
              <w:jc w:val="both"/>
              <w:rPr>
                <w:sz w:val="24"/>
                <w:szCs w:val="24"/>
              </w:rPr>
            </w:pPr>
            <w:r>
              <w:rPr>
                <w:sz w:val="24"/>
                <w:szCs w:val="24"/>
              </w:rPr>
              <w:t>15</w:t>
            </w:r>
            <w:r w:rsidRPr="009A78FC">
              <w:rPr>
                <w:sz w:val="24"/>
                <w:szCs w:val="24"/>
              </w:rPr>
              <w:t xml:space="preserve"> % du montant du contrat après approbation</w:t>
            </w:r>
            <w:r w:rsidR="00010A79">
              <w:rPr>
                <w:sz w:val="24"/>
                <w:szCs w:val="24"/>
              </w:rPr>
              <w:t xml:space="preserve"> du livrable</w:t>
            </w:r>
          </w:p>
        </w:tc>
      </w:tr>
    </w:tbl>
    <w:p w14:paraId="1A3F35F5" w14:textId="77777777" w:rsidR="0040569F" w:rsidRDefault="0040569F" w:rsidP="009A78FC">
      <w:pPr>
        <w:pStyle w:val="Default"/>
        <w:jc w:val="both"/>
        <w:rPr>
          <w:lang w:val="fr-FR"/>
        </w:rPr>
      </w:pPr>
    </w:p>
    <w:p w14:paraId="6B036181" w14:textId="64187B4D" w:rsidR="00171892" w:rsidRPr="0040569F" w:rsidRDefault="00171892" w:rsidP="009A78FC">
      <w:pPr>
        <w:pStyle w:val="Default"/>
        <w:jc w:val="both"/>
        <w:rPr>
          <w:rFonts w:asciiTheme="minorHAnsi" w:hAnsiTheme="minorHAnsi"/>
          <w:lang w:val="fr-FR"/>
        </w:rPr>
      </w:pPr>
      <w:r w:rsidRPr="0040569F">
        <w:rPr>
          <w:rFonts w:asciiTheme="minorHAnsi" w:hAnsiTheme="minorHAnsi"/>
          <w:lang w:val="fr-FR"/>
        </w:rPr>
        <w:t>Le prestataire de services retenu devrait :</w:t>
      </w:r>
    </w:p>
    <w:p w14:paraId="7BC07391" w14:textId="77777777" w:rsidR="00171892" w:rsidRPr="0040569F" w:rsidRDefault="00171892" w:rsidP="009A78FC">
      <w:pPr>
        <w:pStyle w:val="Default"/>
        <w:jc w:val="both"/>
        <w:rPr>
          <w:rFonts w:asciiTheme="minorHAnsi" w:hAnsiTheme="minorHAnsi"/>
          <w:lang w:val="fr-FR"/>
        </w:rPr>
      </w:pPr>
    </w:p>
    <w:p w14:paraId="211E7C7C" w14:textId="2DA60415" w:rsidR="00171892" w:rsidRPr="0040569F" w:rsidRDefault="00171892" w:rsidP="00BD456A">
      <w:pPr>
        <w:pStyle w:val="Default"/>
        <w:numPr>
          <w:ilvl w:val="0"/>
          <w:numId w:val="2"/>
        </w:numPr>
        <w:spacing w:after="49"/>
        <w:jc w:val="both"/>
        <w:rPr>
          <w:rFonts w:asciiTheme="minorHAnsi" w:hAnsiTheme="minorHAnsi"/>
          <w:lang w:val="fr-FR"/>
        </w:rPr>
      </w:pPr>
      <w:r w:rsidRPr="0040569F">
        <w:rPr>
          <w:rFonts w:asciiTheme="minorHAnsi" w:hAnsiTheme="minorHAnsi"/>
          <w:lang w:val="fr-FR"/>
        </w:rPr>
        <w:t xml:space="preserve">Présenter, lors de la réunion de démarrage de l’étude, </w:t>
      </w:r>
      <w:r w:rsidR="009D3D26">
        <w:rPr>
          <w:rFonts w:asciiTheme="minorHAnsi" w:hAnsiTheme="minorHAnsi"/>
          <w:lang w:val="fr-FR"/>
        </w:rPr>
        <w:t>l’</w:t>
      </w:r>
      <w:r w:rsidRPr="0040569F">
        <w:rPr>
          <w:rFonts w:asciiTheme="minorHAnsi" w:hAnsiTheme="minorHAnsi"/>
          <w:lang w:val="fr-FR"/>
        </w:rPr>
        <w:t>approche méthodologique avec un plan de travail détaillé et un planning des activités à conduire.</w:t>
      </w:r>
    </w:p>
    <w:p w14:paraId="299A6FCC" w14:textId="54F757AB" w:rsidR="00171892" w:rsidRPr="0040569F" w:rsidRDefault="00171892" w:rsidP="00BD456A">
      <w:pPr>
        <w:pStyle w:val="Default"/>
        <w:numPr>
          <w:ilvl w:val="0"/>
          <w:numId w:val="2"/>
        </w:numPr>
        <w:spacing w:after="49"/>
        <w:jc w:val="both"/>
        <w:rPr>
          <w:rFonts w:asciiTheme="minorHAnsi" w:hAnsiTheme="minorHAnsi"/>
          <w:lang w:val="fr-FR"/>
        </w:rPr>
      </w:pPr>
      <w:r w:rsidRPr="0040569F">
        <w:rPr>
          <w:rFonts w:asciiTheme="minorHAnsi" w:hAnsiTheme="minorHAnsi"/>
          <w:lang w:val="fr-FR"/>
        </w:rPr>
        <w:t xml:space="preserve">Préparer et animer un atelier de démarrage officiel de </w:t>
      </w:r>
      <w:r w:rsidR="00155D08">
        <w:rPr>
          <w:rFonts w:asciiTheme="minorHAnsi" w:hAnsiTheme="minorHAnsi"/>
          <w:lang w:val="fr-FR"/>
        </w:rPr>
        <w:t>la mission</w:t>
      </w:r>
      <w:r w:rsidR="00155D08" w:rsidRPr="0040569F">
        <w:rPr>
          <w:rFonts w:asciiTheme="minorHAnsi" w:hAnsiTheme="minorHAnsi"/>
          <w:lang w:val="fr-FR"/>
        </w:rPr>
        <w:t xml:space="preserve"> </w:t>
      </w:r>
      <w:r w:rsidRPr="0040569F">
        <w:rPr>
          <w:rFonts w:asciiTheme="minorHAnsi" w:hAnsiTheme="minorHAnsi"/>
          <w:lang w:val="fr-FR"/>
        </w:rPr>
        <w:t>avec tous les acteurs clés afin de confirmer la méthodologie adoptée et assurer l’appropriation de ses résultats par la suite ;</w:t>
      </w:r>
    </w:p>
    <w:p w14:paraId="24BFBB47" w14:textId="55C13810" w:rsidR="00171892" w:rsidRPr="0040569F" w:rsidRDefault="00171892" w:rsidP="00BD456A">
      <w:pPr>
        <w:pStyle w:val="Default"/>
        <w:numPr>
          <w:ilvl w:val="0"/>
          <w:numId w:val="2"/>
        </w:numPr>
        <w:spacing w:after="49"/>
        <w:jc w:val="both"/>
        <w:rPr>
          <w:rFonts w:asciiTheme="minorHAnsi" w:hAnsiTheme="minorHAnsi"/>
          <w:lang w:val="fr-FR"/>
        </w:rPr>
      </w:pPr>
      <w:r w:rsidRPr="0040569F">
        <w:rPr>
          <w:rFonts w:asciiTheme="minorHAnsi" w:hAnsiTheme="minorHAnsi"/>
          <w:lang w:val="fr-FR"/>
        </w:rPr>
        <w:t>Conduire des réunions</w:t>
      </w:r>
      <w:r w:rsidR="00D64BA2">
        <w:rPr>
          <w:rFonts w:asciiTheme="minorHAnsi" w:hAnsiTheme="minorHAnsi"/>
          <w:lang w:val="fr-FR"/>
        </w:rPr>
        <w:t>/ateliers</w:t>
      </w:r>
      <w:r w:rsidRPr="0040569F">
        <w:rPr>
          <w:rFonts w:asciiTheme="minorHAnsi" w:hAnsiTheme="minorHAnsi"/>
          <w:lang w:val="fr-FR"/>
        </w:rPr>
        <w:t xml:space="preserve"> de concertation avec les parties prenantes pour la discussion de toutes les composantes méthodologiques, tout au long de l’exécution de toutes les tâches ;</w:t>
      </w:r>
    </w:p>
    <w:p w14:paraId="6A806849" w14:textId="1E9E392F" w:rsidR="00171892" w:rsidRDefault="00171892" w:rsidP="00BD456A">
      <w:pPr>
        <w:pStyle w:val="Default"/>
        <w:numPr>
          <w:ilvl w:val="0"/>
          <w:numId w:val="2"/>
        </w:numPr>
        <w:jc w:val="both"/>
        <w:rPr>
          <w:rFonts w:asciiTheme="minorHAnsi" w:hAnsiTheme="minorHAnsi"/>
          <w:lang w:val="fr-FR"/>
        </w:rPr>
      </w:pPr>
      <w:r w:rsidRPr="0040569F">
        <w:rPr>
          <w:rFonts w:asciiTheme="minorHAnsi" w:hAnsiTheme="minorHAnsi"/>
          <w:lang w:val="fr-FR"/>
        </w:rPr>
        <w:t>Restituer des versions provisoires et finales</w:t>
      </w:r>
      <w:r w:rsidR="00FC3192">
        <w:rPr>
          <w:rFonts w:asciiTheme="minorHAnsi" w:hAnsiTheme="minorHAnsi"/>
          <w:lang w:val="fr-FR"/>
        </w:rPr>
        <w:t xml:space="preserve"> </w:t>
      </w:r>
      <w:r w:rsidR="00397463">
        <w:rPr>
          <w:rFonts w:asciiTheme="minorHAnsi" w:hAnsiTheme="minorHAnsi"/>
          <w:lang w:val="fr-FR"/>
        </w:rPr>
        <w:t xml:space="preserve">des livrables </w:t>
      </w:r>
      <w:r w:rsidR="00FC3192">
        <w:rPr>
          <w:rFonts w:asciiTheme="minorHAnsi" w:hAnsiTheme="minorHAnsi"/>
          <w:lang w:val="fr-FR"/>
        </w:rPr>
        <w:t>et conduire des ateliers/réunions de présentations</w:t>
      </w:r>
      <w:r w:rsidR="00E404FC">
        <w:rPr>
          <w:rFonts w:asciiTheme="minorHAnsi" w:hAnsiTheme="minorHAnsi"/>
          <w:lang w:val="fr-FR"/>
        </w:rPr>
        <w:t>/</w:t>
      </w:r>
      <w:r w:rsidR="00E404FC" w:rsidRPr="00397463">
        <w:rPr>
          <w:rFonts w:asciiTheme="minorHAnsi" w:hAnsiTheme="minorHAnsi"/>
          <w:lang w:val="fr-FR"/>
        </w:rPr>
        <w:t>approbation</w:t>
      </w:r>
      <w:r w:rsidR="00FC3192" w:rsidRPr="00397463">
        <w:rPr>
          <w:rFonts w:asciiTheme="minorHAnsi" w:hAnsiTheme="minorHAnsi"/>
          <w:lang w:val="fr-FR"/>
        </w:rPr>
        <w:t xml:space="preserve"> des livrables ; </w:t>
      </w:r>
    </w:p>
    <w:p w14:paraId="37047520" w14:textId="44A155B4" w:rsidR="009C3887" w:rsidRPr="00397463" w:rsidRDefault="009C3887" w:rsidP="00BD456A">
      <w:pPr>
        <w:pStyle w:val="Default"/>
        <w:numPr>
          <w:ilvl w:val="0"/>
          <w:numId w:val="2"/>
        </w:numPr>
        <w:jc w:val="both"/>
        <w:rPr>
          <w:rFonts w:asciiTheme="minorHAnsi" w:hAnsiTheme="minorHAnsi"/>
          <w:lang w:val="fr-FR"/>
        </w:rPr>
      </w:pPr>
      <w:r w:rsidRPr="0040569F">
        <w:rPr>
          <w:rFonts w:asciiTheme="minorHAnsi" w:hAnsiTheme="minorHAnsi"/>
          <w:lang w:val="fr-FR"/>
        </w:rPr>
        <w:t>Préparer et animer un atelier</w:t>
      </w:r>
      <w:r>
        <w:rPr>
          <w:rFonts w:asciiTheme="minorHAnsi" w:hAnsiTheme="minorHAnsi"/>
          <w:lang w:val="fr-FR"/>
        </w:rPr>
        <w:t xml:space="preserve"> national de </w:t>
      </w:r>
      <w:r w:rsidR="00B35622">
        <w:rPr>
          <w:rFonts w:asciiTheme="minorHAnsi" w:hAnsiTheme="minorHAnsi"/>
          <w:lang w:val="fr-FR"/>
        </w:rPr>
        <w:t>présentation</w:t>
      </w:r>
      <w:r>
        <w:rPr>
          <w:rFonts w:asciiTheme="minorHAnsi" w:hAnsiTheme="minorHAnsi"/>
          <w:lang w:val="fr-FR"/>
        </w:rPr>
        <w:t xml:space="preserve"> de la CDN mise </w:t>
      </w:r>
      <w:r w:rsidR="009030D7">
        <w:rPr>
          <w:rFonts w:asciiTheme="minorHAnsi" w:hAnsiTheme="minorHAnsi"/>
          <w:lang w:val="fr-FR"/>
        </w:rPr>
        <w:t>à</w:t>
      </w:r>
      <w:r>
        <w:rPr>
          <w:rFonts w:asciiTheme="minorHAnsi" w:hAnsiTheme="minorHAnsi"/>
          <w:lang w:val="fr-FR"/>
        </w:rPr>
        <w:t xml:space="preserve"> jour </w:t>
      </w:r>
      <w:r w:rsidR="0044227C">
        <w:rPr>
          <w:rFonts w:asciiTheme="minorHAnsi" w:hAnsiTheme="minorHAnsi"/>
          <w:lang w:val="fr-FR"/>
        </w:rPr>
        <w:t xml:space="preserve">ainsi qu’un atelier sur la </w:t>
      </w:r>
      <w:r w:rsidR="00FC4974">
        <w:rPr>
          <w:rFonts w:asciiTheme="minorHAnsi" w:hAnsiTheme="minorHAnsi"/>
          <w:lang w:val="fr-FR"/>
        </w:rPr>
        <w:t>présentation</w:t>
      </w:r>
      <w:r w:rsidR="0044227C">
        <w:rPr>
          <w:rFonts w:asciiTheme="minorHAnsi" w:hAnsiTheme="minorHAnsi"/>
          <w:lang w:val="fr-FR"/>
        </w:rPr>
        <w:t xml:space="preserve"> de la feuille de route </w:t>
      </w:r>
      <w:r w:rsidR="00082382">
        <w:rPr>
          <w:rFonts w:asciiTheme="minorHAnsi" w:hAnsiTheme="minorHAnsi"/>
          <w:lang w:val="fr-FR"/>
        </w:rPr>
        <w:t xml:space="preserve">de la mise en </w:t>
      </w:r>
      <w:r w:rsidR="009E7543">
        <w:rPr>
          <w:rFonts w:asciiTheme="minorHAnsi" w:hAnsiTheme="minorHAnsi"/>
          <w:lang w:val="fr-FR"/>
        </w:rPr>
        <w:t>œuvre</w:t>
      </w:r>
      <w:r w:rsidR="00082382">
        <w:rPr>
          <w:rFonts w:asciiTheme="minorHAnsi" w:hAnsiTheme="minorHAnsi"/>
          <w:lang w:val="fr-FR"/>
        </w:rPr>
        <w:t xml:space="preserve"> </w:t>
      </w:r>
      <w:r w:rsidR="0044227C">
        <w:rPr>
          <w:rFonts w:asciiTheme="minorHAnsi" w:hAnsiTheme="minorHAnsi"/>
          <w:lang w:val="fr-FR"/>
        </w:rPr>
        <w:t xml:space="preserve">; </w:t>
      </w:r>
    </w:p>
    <w:p w14:paraId="282ADC38" w14:textId="1785AC0B" w:rsidR="00D539E8" w:rsidRPr="00B959C1" w:rsidRDefault="00D21A42" w:rsidP="00BD456A">
      <w:pPr>
        <w:pStyle w:val="Default"/>
        <w:numPr>
          <w:ilvl w:val="0"/>
          <w:numId w:val="2"/>
        </w:numPr>
        <w:jc w:val="both"/>
        <w:rPr>
          <w:rFonts w:asciiTheme="minorHAnsi" w:hAnsiTheme="minorHAnsi"/>
          <w:lang w:val="fr-FR"/>
        </w:rPr>
      </w:pPr>
      <w:r>
        <w:rPr>
          <w:rFonts w:asciiTheme="minorHAnsi" w:hAnsiTheme="minorHAnsi"/>
          <w:lang w:val="fr-FR"/>
        </w:rPr>
        <w:t xml:space="preserve">En dehors des </w:t>
      </w:r>
      <w:r w:rsidR="00C144AF">
        <w:rPr>
          <w:rFonts w:asciiTheme="minorHAnsi" w:hAnsiTheme="minorHAnsi"/>
          <w:lang w:val="fr-FR"/>
        </w:rPr>
        <w:t>ateliers/réunions des étapes importantes</w:t>
      </w:r>
      <w:r w:rsidR="00922187">
        <w:rPr>
          <w:rFonts w:asciiTheme="minorHAnsi" w:hAnsiTheme="minorHAnsi"/>
          <w:lang w:val="fr-FR"/>
        </w:rPr>
        <w:t xml:space="preserve"> </w:t>
      </w:r>
      <w:r w:rsidR="00D6459F">
        <w:rPr>
          <w:rFonts w:asciiTheme="minorHAnsi" w:hAnsiTheme="minorHAnsi"/>
          <w:lang w:val="fr-FR"/>
        </w:rPr>
        <w:t>(</w:t>
      </w:r>
      <w:proofErr w:type="spellStart"/>
      <w:r w:rsidR="00D6459F">
        <w:rPr>
          <w:rFonts w:asciiTheme="minorHAnsi" w:hAnsiTheme="minorHAnsi"/>
          <w:lang w:val="fr-FR"/>
        </w:rPr>
        <w:t>milestones</w:t>
      </w:r>
      <w:proofErr w:type="spellEnd"/>
      <w:r w:rsidR="00D6459F">
        <w:rPr>
          <w:rFonts w:asciiTheme="minorHAnsi" w:hAnsiTheme="minorHAnsi"/>
          <w:lang w:val="fr-FR"/>
        </w:rPr>
        <w:t xml:space="preserve">) </w:t>
      </w:r>
      <w:r w:rsidR="00922187">
        <w:rPr>
          <w:rFonts w:asciiTheme="minorHAnsi" w:hAnsiTheme="minorHAnsi"/>
          <w:lang w:val="fr-FR"/>
        </w:rPr>
        <w:t>de la mission</w:t>
      </w:r>
      <w:r w:rsidR="00C144AF">
        <w:rPr>
          <w:rFonts w:asciiTheme="minorHAnsi" w:hAnsiTheme="minorHAnsi"/>
          <w:lang w:val="fr-FR"/>
        </w:rPr>
        <w:t xml:space="preserve">, le prestataire de service effectuera </w:t>
      </w:r>
      <w:r w:rsidR="00882E3D">
        <w:rPr>
          <w:rFonts w:asciiTheme="minorHAnsi" w:hAnsiTheme="minorHAnsi"/>
          <w:lang w:val="fr-FR"/>
        </w:rPr>
        <w:t>au moins</w:t>
      </w:r>
      <w:r w:rsidR="0015059B">
        <w:rPr>
          <w:rFonts w:asciiTheme="minorHAnsi" w:hAnsiTheme="minorHAnsi"/>
          <w:lang w:val="fr-FR"/>
        </w:rPr>
        <w:t xml:space="preserve"> un nombre de</w:t>
      </w:r>
      <w:r w:rsidR="00882E3D">
        <w:rPr>
          <w:rFonts w:asciiTheme="minorHAnsi" w:hAnsiTheme="minorHAnsi"/>
          <w:lang w:val="fr-FR"/>
        </w:rPr>
        <w:t xml:space="preserve"> </w:t>
      </w:r>
      <w:r w:rsidR="00AE2472">
        <w:rPr>
          <w:rFonts w:asciiTheme="minorHAnsi" w:hAnsiTheme="minorHAnsi"/>
          <w:lang w:val="fr-FR"/>
        </w:rPr>
        <w:t>6</w:t>
      </w:r>
      <w:r w:rsidR="00C144AF">
        <w:rPr>
          <w:rFonts w:asciiTheme="minorHAnsi" w:hAnsiTheme="minorHAnsi"/>
          <w:lang w:val="fr-FR"/>
        </w:rPr>
        <w:t xml:space="preserve"> </w:t>
      </w:r>
      <w:r>
        <w:rPr>
          <w:rFonts w:asciiTheme="minorHAnsi" w:hAnsiTheme="minorHAnsi"/>
          <w:lang w:val="fr-FR"/>
        </w:rPr>
        <w:t>réunions</w:t>
      </w:r>
      <w:r w:rsidR="0010676E">
        <w:rPr>
          <w:rFonts w:asciiTheme="minorHAnsi" w:hAnsiTheme="minorHAnsi"/>
          <w:lang w:val="fr-FR"/>
        </w:rPr>
        <w:t xml:space="preserve"> nationales et </w:t>
      </w:r>
      <w:r w:rsidR="00C24732">
        <w:rPr>
          <w:rFonts w:asciiTheme="minorHAnsi" w:hAnsiTheme="minorHAnsi"/>
          <w:lang w:val="fr-FR"/>
        </w:rPr>
        <w:t>sectorielles</w:t>
      </w:r>
      <w:r w:rsidR="00C50B50">
        <w:rPr>
          <w:rFonts w:asciiTheme="minorHAnsi" w:hAnsiTheme="minorHAnsi"/>
          <w:lang w:val="fr-FR"/>
        </w:rPr>
        <w:t xml:space="preserve"> </w:t>
      </w:r>
      <w:r w:rsidR="00D539E8" w:rsidRPr="00D21A42">
        <w:rPr>
          <w:rFonts w:asciiTheme="minorHAnsi" w:hAnsiTheme="minorHAnsi"/>
          <w:lang w:val="fr-FR"/>
        </w:rPr>
        <w:t xml:space="preserve">de </w:t>
      </w:r>
      <w:proofErr w:type="gramStart"/>
      <w:r w:rsidR="00D539E8" w:rsidRPr="00BE3216">
        <w:rPr>
          <w:rFonts w:asciiTheme="minorHAnsi" w:hAnsiTheme="minorHAnsi"/>
          <w:lang w:val="fr-FR"/>
        </w:rPr>
        <w:t>concertation</w:t>
      </w:r>
      <w:r w:rsidR="006907AC" w:rsidRPr="00B959C1">
        <w:rPr>
          <w:rFonts w:asciiTheme="minorHAnsi" w:hAnsiTheme="minorHAnsi"/>
          <w:lang w:val="fr-FR"/>
        </w:rPr>
        <w:t>;</w:t>
      </w:r>
      <w:proofErr w:type="gramEnd"/>
      <w:r w:rsidR="006907AC" w:rsidRPr="00BE3216">
        <w:rPr>
          <w:rFonts w:asciiTheme="minorHAnsi" w:hAnsiTheme="minorHAnsi"/>
          <w:lang w:val="fr-FR"/>
        </w:rPr>
        <w:t xml:space="preserve"> </w:t>
      </w:r>
    </w:p>
    <w:p w14:paraId="608B0B79" w14:textId="77777777" w:rsidR="00E27557" w:rsidRPr="00364108" w:rsidRDefault="00892227" w:rsidP="00BD456A">
      <w:pPr>
        <w:pStyle w:val="Default"/>
        <w:numPr>
          <w:ilvl w:val="0"/>
          <w:numId w:val="2"/>
        </w:numPr>
        <w:jc w:val="both"/>
        <w:rPr>
          <w:lang w:val="fr-FR"/>
        </w:rPr>
      </w:pPr>
      <w:r w:rsidRPr="0040569F">
        <w:rPr>
          <w:rFonts w:asciiTheme="minorHAnsi" w:hAnsiTheme="minorHAnsi"/>
          <w:lang w:val="fr-FR"/>
        </w:rPr>
        <w:t xml:space="preserve">Collaborer avec d’autres experts qui auront la tâche </w:t>
      </w:r>
      <w:r w:rsidR="006A481A">
        <w:rPr>
          <w:rFonts w:asciiTheme="minorHAnsi" w:hAnsiTheme="minorHAnsi"/>
          <w:lang w:val="fr-FR"/>
        </w:rPr>
        <w:t>de mettre à jour le volet adaptation de la</w:t>
      </w:r>
      <w:r w:rsidRPr="0040569F">
        <w:rPr>
          <w:rFonts w:asciiTheme="minorHAnsi" w:hAnsiTheme="minorHAnsi"/>
          <w:lang w:val="fr-FR"/>
        </w:rPr>
        <w:t xml:space="preserve"> CDN de la </w:t>
      </w:r>
      <w:r w:rsidR="00C901CA">
        <w:rPr>
          <w:rFonts w:asciiTheme="minorHAnsi" w:hAnsiTheme="minorHAnsi"/>
          <w:lang w:val="fr-FR"/>
        </w:rPr>
        <w:t>Guinée Bissau</w:t>
      </w:r>
      <w:r w:rsidR="00A41080">
        <w:rPr>
          <w:rFonts w:asciiTheme="minorHAnsi" w:hAnsiTheme="minorHAnsi"/>
          <w:lang w:val="fr-FR"/>
        </w:rPr>
        <w:t xml:space="preserve">, pour la consolidation de la CDN à soumettre à la CCNUCC y compris pour l’élaboration du chapitre sur la </w:t>
      </w:r>
      <w:r w:rsidR="00F510C0">
        <w:rPr>
          <w:rFonts w:asciiTheme="minorHAnsi" w:hAnsiTheme="minorHAnsi"/>
          <w:lang w:val="fr-FR"/>
        </w:rPr>
        <w:t>synergie</w:t>
      </w:r>
      <w:r w:rsidR="00A41080">
        <w:rPr>
          <w:rFonts w:asciiTheme="minorHAnsi" w:hAnsiTheme="minorHAnsi"/>
          <w:lang w:val="fr-FR"/>
        </w:rPr>
        <w:t xml:space="preserve"> atténuation/adaptation. </w:t>
      </w:r>
    </w:p>
    <w:p w14:paraId="5B2D9C06" w14:textId="77777777" w:rsidR="00171892" w:rsidRPr="0040569F" w:rsidRDefault="00171892" w:rsidP="009A78FC">
      <w:pPr>
        <w:pStyle w:val="Default"/>
        <w:jc w:val="both"/>
        <w:rPr>
          <w:rFonts w:asciiTheme="minorHAnsi" w:hAnsiTheme="minorHAnsi"/>
          <w:lang w:val="fr-FR"/>
        </w:rPr>
      </w:pPr>
    </w:p>
    <w:p w14:paraId="61930ACC" w14:textId="77777777" w:rsidR="009E08DA" w:rsidRDefault="00171892" w:rsidP="009A78FC">
      <w:pPr>
        <w:tabs>
          <w:tab w:val="left" w:pos="360"/>
        </w:tabs>
        <w:spacing w:line="360" w:lineRule="auto"/>
        <w:jc w:val="both"/>
        <w:rPr>
          <w:color w:val="000000"/>
          <w:sz w:val="24"/>
          <w:szCs w:val="24"/>
        </w:rPr>
      </w:pPr>
      <w:r w:rsidRPr="0040569F">
        <w:rPr>
          <w:b/>
          <w:bCs/>
          <w:color w:val="000000"/>
          <w:sz w:val="24"/>
          <w:szCs w:val="24"/>
        </w:rPr>
        <w:t>NB</w:t>
      </w:r>
      <w:r w:rsidRPr="009A78FC">
        <w:rPr>
          <w:color w:val="000000"/>
          <w:sz w:val="24"/>
          <w:szCs w:val="24"/>
        </w:rPr>
        <w:t xml:space="preserve"> : </w:t>
      </w:r>
    </w:p>
    <w:p w14:paraId="7FC77468" w14:textId="3C471ECC" w:rsidR="00171892" w:rsidRDefault="00171892" w:rsidP="00BD456A">
      <w:pPr>
        <w:pStyle w:val="Default"/>
        <w:numPr>
          <w:ilvl w:val="0"/>
          <w:numId w:val="2"/>
        </w:numPr>
        <w:jc w:val="both"/>
        <w:rPr>
          <w:rFonts w:asciiTheme="minorHAnsi" w:hAnsiTheme="minorHAnsi"/>
          <w:lang w:val="fr-FR"/>
        </w:rPr>
      </w:pPr>
      <w:r w:rsidRPr="005F4500">
        <w:rPr>
          <w:rFonts w:asciiTheme="minorHAnsi" w:hAnsiTheme="minorHAnsi"/>
          <w:lang w:val="fr-FR"/>
        </w:rPr>
        <w:t>Les frais d’organisation de tous les ateliers à conduire dans le cadre de l’étude seront pris en charge par le PNUD et ne doivent pas figurer dans l’offre financière du soumissionnaire</w:t>
      </w:r>
      <w:r w:rsidR="000F089F" w:rsidRPr="005F4500">
        <w:rPr>
          <w:rFonts w:asciiTheme="minorHAnsi" w:hAnsiTheme="minorHAnsi"/>
          <w:lang w:val="fr-FR"/>
        </w:rPr>
        <w:t>.</w:t>
      </w:r>
      <w:r w:rsidR="009E08DA" w:rsidRPr="005F4500">
        <w:rPr>
          <w:rFonts w:asciiTheme="minorHAnsi" w:hAnsiTheme="minorHAnsi"/>
          <w:lang w:val="fr-FR"/>
        </w:rPr>
        <w:t xml:space="preserve"> </w:t>
      </w:r>
    </w:p>
    <w:p w14:paraId="0F753CAC" w14:textId="48ADD2D6" w:rsidR="009E08DA" w:rsidRPr="005F4500" w:rsidRDefault="002873E2" w:rsidP="00BD456A">
      <w:pPr>
        <w:pStyle w:val="Default"/>
        <w:numPr>
          <w:ilvl w:val="0"/>
          <w:numId w:val="2"/>
        </w:numPr>
        <w:jc w:val="both"/>
        <w:rPr>
          <w:rFonts w:asciiTheme="minorHAnsi" w:hAnsiTheme="minorHAnsi"/>
          <w:lang w:val="fr-FR"/>
        </w:rPr>
      </w:pPr>
      <w:r>
        <w:rPr>
          <w:rFonts w:asciiTheme="minorHAnsi" w:hAnsiTheme="minorHAnsi"/>
          <w:lang w:val="fr-FR"/>
        </w:rPr>
        <w:t>Les</w:t>
      </w:r>
      <w:r w:rsidR="009E08DA">
        <w:rPr>
          <w:rFonts w:asciiTheme="minorHAnsi" w:hAnsiTheme="minorHAnsi"/>
          <w:lang w:val="fr-FR"/>
        </w:rPr>
        <w:t xml:space="preserve"> ateliers</w:t>
      </w:r>
      <w:r w:rsidR="00192F59">
        <w:rPr>
          <w:rFonts w:asciiTheme="minorHAnsi" w:hAnsiTheme="minorHAnsi"/>
          <w:lang w:val="fr-FR"/>
        </w:rPr>
        <w:t xml:space="preserve"> </w:t>
      </w:r>
      <w:r w:rsidR="000815BC">
        <w:rPr>
          <w:rFonts w:asciiTheme="minorHAnsi" w:hAnsiTheme="minorHAnsi"/>
          <w:lang w:val="fr-FR"/>
        </w:rPr>
        <w:t>présentiels</w:t>
      </w:r>
      <w:r w:rsidR="009E08DA">
        <w:rPr>
          <w:rFonts w:asciiTheme="minorHAnsi" w:hAnsiTheme="minorHAnsi"/>
          <w:lang w:val="fr-FR"/>
        </w:rPr>
        <w:t xml:space="preserve"> seront </w:t>
      </w:r>
      <w:r w:rsidR="00DE2A6E">
        <w:rPr>
          <w:rFonts w:asciiTheme="minorHAnsi" w:hAnsiTheme="minorHAnsi"/>
          <w:lang w:val="fr-FR"/>
        </w:rPr>
        <w:t>discutés</w:t>
      </w:r>
      <w:r w:rsidR="00192F59">
        <w:rPr>
          <w:rFonts w:asciiTheme="minorHAnsi" w:hAnsiTheme="minorHAnsi"/>
          <w:lang w:val="fr-FR"/>
        </w:rPr>
        <w:t xml:space="preserve"> avec le PNUD et le Ministère de l’Environnement et de la Biodiversité</w:t>
      </w:r>
      <w:r w:rsidR="00192F59" w:rsidRPr="00192F59">
        <w:rPr>
          <w:rFonts w:asciiTheme="minorHAnsi" w:hAnsiTheme="minorHAnsi"/>
          <w:lang w:val="fr-FR"/>
        </w:rPr>
        <w:t xml:space="preserve"> </w:t>
      </w:r>
      <w:r w:rsidR="00192F59">
        <w:rPr>
          <w:rFonts w:asciiTheme="minorHAnsi" w:hAnsiTheme="minorHAnsi"/>
          <w:lang w:val="fr-FR"/>
        </w:rPr>
        <w:t xml:space="preserve">en fonction du contexte COVID19. Un minimum de 4 ateliers </w:t>
      </w:r>
      <w:r w:rsidR="000815BC">
        <w:rPr>
          <w:rFonts w:asciiTheme="minorHAnsi" w:hAnsiTheme="minorHAnsi"/>
          <w:lang w:val="fr-FR"/>
        </w:rPr>
        <w:t>présentiels</w:t>
      </w:r>
      <w:r w:rsidR="00192F59">
        <w:rPr>
          <w:rFonts w:asciiTheme="minorHAnsi" w:hAnsiTheme="minorHAnsi"/>
          <w:lang w:val="fr-FR"/>
        </w:rPr>
        <w:t xml:space="preserve"> est nécessaire</w:t>
      </w:r>
      <w:r w:rsidR="000815BC">
        <w:rPr>
          <w:rFonts w:asciiTheme="minorHAnsi" w:hAnsiTheme="minorHAnsi"/>
          <w:lang w:val="fr-FR"/>
        </w:rPr>
        <w:t xml:space="preserve"> sur la période de la mission</w:t>
      </w:r>
      <w:r w:rsidR="00192F59">
        <w:rPr>
          <w:rFonts w:asciiTheme="minorHAnsi" w:hAnsiTheme="minorHAnsi"/>
          <w:lang w:val="fr-FR"/>
        </w:rPr>
        <w:t xml:space="preserve">. </w:t>
      </w:r>
      <w:r>
        <w:rPr>
          <w:rFonts w:asciiTheme="minorHAnsi" w:hAnsiTheme="minorHAnsi"/>
          <w:lang w:val="fr-FR"/>
        </w:rPr>
        <w:t xml:space="preserve">A cet effet, le bureau d’études inclura dans son offre financière les frais pour 4 missions pour les experts internationaux.  </w:t>
      </w:r>
      <w:r w:rsidR="003B0340">
        <w:rPr>
          <w:rFonts w:asciiTheme="minorHAnsi" w:hAnsiTheme="minorHAnsi"/>
          <w:lang w:val="fr-FR"/>
        </w:rPr>
        <w:t>Les autres réunions</w:t>
      </w:r>
      <w:r w:rsidR="00112FA4">
        <w:rPr>
          <w:rFonts w:asciiTheme="minorHAnsi" w:hAnsiTheme="minorHAnsi"/>
          <w:lang w:val="fr-FR"/>
        </w:rPr>
        <w:t>/ateliers</w:t>
      </w:r>
      <w:r w:rsidR="003B0340">
        <w:rPr>
          <w:rFonts w:asciiTheme="minorHAnsi" w:hAnsiTheme="minorHAnsi"/>
          <w:lang w:val="fr-FR"/>
        </w:rPr>
        <w:t xml:space="preserve"> seront </w:t>
      </w:r>
      <w:r>
        <w:rPr>
          <w:rFonts w:asciiTheme="minorHAnsi" w:hAnsiTheme="minorHAnsi"/>
          <w:lang w:val="fr-FR"/>
        </w:rPr>
        <w:t xml:space="preserve">en mode webinar et </w:t>
      </w:r>
      <w:r w:rsidR="00112FA4">
        <w:rPr>
          <w:rFonts w:asciiTheme="minorHAnsi" w:hAnsiTheme="minorHAnsi"/>
          <w:lang w:val="fr-FR"/>
        </w:rPr>
        <w:t>réunions</w:t>
      </w:r>
      <w:r>
        <w:rPr>
          <w:rFonts w:asciiTheme="minorHAnsi" w:hAnsiTheme="minorHAnsi"/>
          <w:lang w:val="fr-FR"/>
        </w:rPr>
        <w:t xml:space="preserve"> en ligne. </w:t>
      </w:r>
    </w:p>
    <w:p w14:paraId="76E492EB" w14:textId="77777777" w:rsidR="009E08DA" w:rsidRPr="009A78FC" w:rsidRDefault="009E08DA" w:rsidP="007E0A9A">
      <w:pPr>
        <w:rPr>
          <w:b/>
          <w:color w:val="000000"/>
          <w:sz w:val="24"/>
          <w:szCs w:val="24"/>
          <w:lang w:eastAsia="fr-FR"/>
        </w:rPr>
      </w:pPr>
    </w:p>
    <w:p w14:paraId="21C9BF02" w14:textId="325ABF8D" w:rsidR="00171892" w:rsidRPr="00DC3C6F" w:rsidRDefault="00171892" w:rsidP="00BD456A">
      <w:pPr>
        <w:pStyle w:val="Paragraphedeliste"/>
        <w:numPr>
          <w:ilvl w:val="0"/>
          <w:numId w:val="17"/>
        </w:numPr>
        <w:jc w:val="both"/>
        <w:rPr>
          <w:sz w:val="24"/>
          <w:szCs w:val="24"/>
          <w:lang w:eastAsia="fr-FR"/>
        </w:rPr>
      </w:pPr>
      <w:r w:rsidRPr="00DC3C6F">
        <w:rPr>
          <w:b/>
          <w:sz w:val="24"/>
          <w:szCs w:val="24"/>
        </w:rPr>
        <w:t>QUALIFICATION</w:t>
      </w:r>
      <w:r w:rsidRPr="00DC3C6F">
        <w:rPr>
          <w:b/>
          <w:sz w:val="24"/>
          <w:szCs w:val="24"/>
          <w:lang w:eastAsia="fr-FR"/>
        </w:rPr>
        <w:t xml:space="preserve"> DES EXPERTS</w:t>
      </w:r>
    </w:p>
    <w:p w14:paraId="53B161B4" w14:textId="0194E75E" w:rsidR="00171892" w:rsidRPr="009A78FC" w:rsidRDefault="00DD6B56" w:rsidP="007E0A9A">
      <w:pPr>
        <w:spacing w:line="276" w:lineRule="auto"/>
        <w:jc w:val="both"/>
        <w:rPr>
          <w:sz w:val="24"/>
          <w:szCs w:val="24"/>
          <w:lang w:eastAsia="fr-FR"/>
        </w:rPr>
      </w:pPr>
      <w:r w:rsidRPr="00364108">
        <w:rPr>
          <w:sz w:val="24"/>
          <w:szCs w:val="24"/>
          <w:lang w:eastAsia="fr-FR"/>
        </w:rPr>
        <w:t xml:space="preserve">Le prestataire sera appelé à fournir l’assistance technique et l’accompagnement nécessaire pour la réalisation de l’ensemble des travaux. </w:t>
      </w:r>
      <w:r w:rsidR="0037126B">
        <w:rPr>
          <w:sz w:val="24"/>
          <w:szCs w:val="24"/>
          <w:lang w:eastAsia="fr-FR"/>
        </w:rPr>
        <w:t xml:space="preserve"> </w:t>
      </w:r>
      <w:r w:rsidR="00171892" w:rsidRPr="009A78FC">
        <w:rPr>
          <w:sz w:val="24"/>
          <w:szCs w:val="24"/>
          <w:lang w:eastAsia="fr-FR"/>
        </w:rPr>
        <w:t xml:space="preserve">La réalisation de la présente mission nécessite la mobilisation d’une </w:t>
      </w:r>
      <w:r w:rsidR="008259F5" w:rsidRPr="009A78FC">
        <w:rPr>
          <w:sz w:val="24"/>
          <w:szCs w:val="24"/>
          <w:lang w:eastAsia="fr-FR"/>
        </w:rPr>
        <w:t xml:space="preserve">équipe composée au moins de </w:t>
      </w:r>
      <w:r w:rsidR="00144D1E">
        <w:rPr>
          <w:sz w:val="24"/>
          <w:szCs w:val="24"/>
          <w:lang w:eastAsia="fr-FR"/>
        </w:rPr>
        <w:t>quatre</w:t>
      </w:r>
      <w:r w:rsidR="00144D1E" w:rsidRPr="009A78FC">
        <w:rPr>
          <w:sz w:val="24"/>
          <w:szCs w:val="24"/>
          <w:lang w:eastAsia="fr-FR"/>
        </w:rPr>
        <w:t xml:space="preserve"> </w:t>
      </w:r>
      <w:r w:rsidR="008259F5" w:rsidRPr="009A78FC">
        <w:rPr>
          <w:sz w:val="24"/>
          <w:szCs w:val="24"/>
          <w:lang w:eastAsia="fr-FR"/>
        </w:rPr>
        <w:t>(0</w:t>
      </w:r>
      <w:r w:rsidR="00144D1E">
        <w:rPr>
          <w:sz w:val="24"/>
          <w:szCs w:val="24"/>
          <w:lang w:eastAsia="fr-FR"/>
        </w:rPr>
        <w:t>4</w:t>
      </w:r>
      <w:r w:rsidR="00171892" w:rsidRPr="009A78FC">
        <w:rPr>
          <w:sz w:val="24"/>
          <w:szCs w:val="24"/>
          <w:lang w:eastAsia="fr-FR"/>
        </w:rPr>
        <w:t>) experts</w:t>
      </w:r>
      <w:r w:rsidR="009D00EF">
        <w:rPr>
          <w:sz w:val="24"/>
          <w:szCs w:val="24"/>
          <w:lang w:eastAsia="fr-FR"/>
        </w:rPr>
        <w:t xml:space="preserve"> internationaux</w:t>
      </w:r>
      <w:r w:rsidR="00171892" w:rsidRPr="009A78FC">
        <w:rPr>
          <w:sz w:val="24"/>
          <w:szCs w:val="24"/>
          <w:lang w:eastAsia="fr-FR"/>
        </w:rPr>
        <w:t xml:space="preserve"> ayant les profils suivants :</w:t>
      </w:r>
    </w:p>
    <w:p w14:paraId="781AB33F" w14:textId="3084AEEF" w:rsidR="008259F5" w:rsidRDefault="009C6748" w:rsidP="00BD456A">
      <w:pPr>
        <w:pStyle w:val="Paragraphedeliste"/>
        <w:numPr>
          <w:ilvl w:val="0"/>
          <w:numId w:val="11"/>
        </w:numPr>
        <w:spacing w:line="360" w:lineRule="auto"/>
        <w:jc w:val="both"/>
        <w:rPr>
          <w:sz w:val="24"/>
          <w:szCs w:val="24"/>
          <w:lang w:eastAsia="fr-FR"/>
        </w:rPr>
      </w:pPr>
      <w:r>
        <w:rPr>
          <w:b/>
          <w:sz w:val="24"/>
          <w:szCs w:val="24"/>
          <w:lang w:eastAsia="fr-FR"/>
        </w:rPr>
        <w:t>E</w:t>
      </w:r>
      <w:r w:rsidR="004D280C">
        <w:rPr>
          <w:b/>
          <w:sz w:val="24"/>
          <w:szCs w:val="24"/>
          <w:lang w:eastAsia="fr-FR"/>
        </w:rPr>
        <w:t>xpert en</w:t>
      </w:r>
      <w:r w:rsidR="008259F5" w:rsidRPr="00B84B28">
        <w:rPr>
          <w:b/>
          <w:sz w:val="24"/>
          <w:szCs w:val="24"/>
          <w:lang w:eastAsia="fr-FR"/>
        </w:rPr>
        <w:t xml:space="preserve"> changements climatiques</w:t>
      </w:r>
      <w:r w:rsidR="00BD183B">
        <w:rPr>
          <w:b/>
          <w:sz w:val="24"/>
          <w:szCs w:val="24"/>
          <w:lang w:eastAsia="fr-FR"/>
        </w:rPr>
        <w:t>/politique d’</w:t>
      </w:r>
      <w:r w:rsidR="005276E4">
        <w:rPr>
          <w:b/>
          <w:sz w:val="24"/>
          <w:szCs w:val="24"/>
          <w:lang w:eastAsia="fr-FR"/>
        </w:rPr>
        <w:t>atténuation</w:t>
      </w:r>
      <w:r w:rsidR="00BD183B">
        <w:rPr>
          <w:b/>
          <w:sz w:val="24"/>
          <w:szCs w:val="24"/>
          <w:lang w:eastAsia="fr-FR"/>
        </w:rPr>
        <w:t xml:space="preserve"> dans le secteur de</w:t>
      </w:r>
      <w:r w:rsidR="004D280C">
        <w:rPr>
          <w:b/>
          <w:sz w:val="24"/>
          <w:szCs w:val="24"/>
          <w:lang w:eastAsia="fr-FR"/>
        </w:rPr>
        <w:t xml:space="preserve"> </w:t>
      </w:r>
      <w:r w:rsidR="00BD183B">
        <w:rPr>
          <w:b/>
          <w:sz w:val="24"/>
          <w:szCs w:val="24"/>
          <w:lang w:eastAsia="fr-FR"/>
        </w:rPr>
        <w:t>l’</w:t>
      </w:r>
      <w:r w:rsidR="004D280C">
        <w:rPr>
          <w:b/>
          <w:sz w:val="24"/>
          <w:szCs w:val="24"/>
          <w:lang w:eastAsia="fr-FR"/>
        </w:rPr>
        <w:t>énergie</w:t>
      </w:r>
      <w:r>
        <w:rPr>
          <w:b/>
          <w:sz w:val="24"/>
          <w:szCs w:val="24"/>
          <w:lang w:eastAsia="fr-FR"/>
        </w:rPr>
        <w:t xml:space="preserve">, </w:t>
      </w:r>
      <w:r w:rsidRPr="009C6748">
        <w:rPr>
          <w:b/>
          <w:sz w:val="24"/>
          <w:szCs w:val="24"/>
          <w:u w:val="single"/>
          <w:lang w:eastAsia="fr-FR"/>
        </w:rPr>
        <w:t>chef/</w:t>
      </w:r>
      <w:proofErr w:type="spellStart"/>
      <w:r w:rsidRPr="009C6748">
        <w:rPr>
          <w:b/>
          <w:sz w:val="24"/>
          <w:szCs w:val="24"/>
          <w:u w:val="single"/>
          <w:lang w:eastAsia="fr-FR"/>
        </w:rPr>
        <w:t>fe</w:t>
      </w:r>
      <w:proofErr w:type="spellEnd"/>
      <w:r w:rsidRPr="009C6748">
        <w:rPr>
          <w:b/>
          <w:sz w:val="24"/>
          <w:szCs w:val="24"/>
          <w:u w:val="single"/>
          <w:lang w:eastAsia="fr-FR"/>
        </w:rPr>
        <w:t xml:space="preserve"> de file</w:t>
      </w:r>
      <w:r>
        <w:rPr>
          <w:sz w:val="24"/>
          <w:szCs w:val="24"/>
          <w:lang w:eastAsia="fr-FR"/>
        </w:rPr>
        <w:t>,</w:t>
      </w:r>
      <w:r w:rsidR="004D280C" w:rsidRPr="009C6748">
        <w:rPr>
          <w:sz w:val="24"/>
          <w:szCs w:val="24"/>
          <w:lang w:eastAsia="fr-FR"/>
        </w:rPr>
        <w:t xml:space="preserve"> </w:t>
      </w:r>
      <w:r w:rsidR="008259F5" w:rsidRPr="00B84B28">
        <w:rPr>
          <w:sz w:val="24"/>
          <w:szCs w:val="24"/>
          <w:lang w:eastAsia="fr-FR"/>
        </w:rPr>
        <w:t>disposant des qualifications suivantes :</w:t>
      </w:r>
    </w:p>
    <w:p w14:paraId="662EFF9E" w14:textId="77777777" w:rsidR="007E6266" w:rsidRPr="007E6266" w:rsidRDefault="007E6266" w:rsidP="00BD456A">
      <w:pPr>
        <w:pStyle w:val="Paragraphedeliste"/>
        <w:numPr>
          <w:ilvl w:val="0"/>
          <w:numId w:val="20"/>
        </w:numPr>
        <w:spacing w:line="276" w:lineRule="auto"/>
        <w:jc w:val="both"/>
        <w:rPr>
          <w:sz w:val="24"/>
          <w:szCs w:val="24"/>
          <w:lang w:eastAsia="fr-FR"/>
        </w:rPr>
      </w:pPr>
      <w:r w:rsidRPr="007E6266">
        <w:rPr>
          <w:sz w:val="24"/>
          <w:szCs w:val="24"/>
          <w:lang w:eastAsia="fr-FR"/>
        </w:rPr>
        <w:t xml:space="preserve">Diplôme : Economiste/ingénieur ou équivalent ; </w:t>
      </w:r>
    </w:p>
    <w:p w14:paraId="34113481" w14:textId="664CE285" w:rsidR="007E6266" w:rsidRPr="007E6266" w:rsidRDefault="007E6266" w:rsidP="00BD456A">
      <w:pPr>
        <w:pStyle w:val="Paragraphedeliste"/>
        <w:numPr>
          <w:ilvl w:val="0"/>
          <w:numId w:val="20"/>
        </w:numPr>
        <w:spacing w:line="276" w:lineRule="auto"/>
        <w:jc w:val="both"/>
        <w:rPr>
          <w:sz w:val="24"/>
          <w:szCs w:val="24"/>
          <w:lang w:eastAsia="fr-FR"/>
        </w:rPr>
      </w:pPr>
      <w:r w:rsidRPr="007E6266">
        <w:rPr>
          <w:sz w:val="24"/>
          <w:szCs w:val="24"/>
          <w:lang w:eastAsia="fr-FR"/>
        </w:rPr>
        <w:t>Expérience professionnelle</w:t>
      </w:r>
      <w:r w:rsidR="005B1AEA">
        <w:rPr>
          <w:sz w:val="24"/>
          <w:szCs w:val="24"/>
          <w:lang w:eastAsia="fr-FR"/>
        </w:rPr>
        <w:t xml:space="preserve"> de 10 ans</w:t>
      </w:r>
      <w:r w:rsidRPr="007E6266">
        <w:rPr>
          <w:sz w:val="24"/>
          <w:szCs w:val="24"/>
          <w:lang w:eastAsia="fr-FR"/>
        </w:rPr>
        <w:t xml:space="preserve"> en matière de politique d’atténuation dans le secteur de </w:t>
      </w:r>
      <w:r w:rsidR="003A078E" w:rsidRPr="007E6266">
        <w:rPr>
          <w:sz w:val="24"/>
          <w:szCs w:val="24"/>
          <w:lang w:eastAsia="fr-FR"/>
        </w:rPr>
        <w:t>l’énergie ;</w:t>
      </w:r>
      <w:r w:rsidRPr="007E6266">
        <w:rPr>
          <w:sz w:val="24"/>
          <w:szCs w:val="24"/>
          <w:lang w:eastAsia="fr-FR"/>
        </w:rPr>
        <w:t xml:space="preserve"> </w:t>
      </w:r>
    </w:p>
    <w:p w14:paraId="1318061E" w14:textId="3279284B" w:rsidR="007E6266" w:rsidRDefault="007E6266" w:rsidP="00BD456A">
      <w:pPr>
        <w:pStyle w:val="Paragraphedeliste"/>
        <w:numPr>
          <w:ilvl w:val="0"/>
          <w:numId w:val="20"/>
        </w:numPr>
        <w:spacing w:line="276" w:lineRule="auto"/>
        <w:jc w:val="both"/>
        <w:rPr>
          <w:sz w:val="24"/>
          <w:szCs w:val="24"/>
          <w:lang w:eastAsia="fr-FR"/>
        </w:rPr>
      </w:pPr>
      <w:r w:rsidRPr="007E6266">
        <w:rPr>
          <w:sz w:val="24"/>
          <w:szCs w:val="24"/>
          <w:lang w:eastAsia="fr-FR"/>
        </w:rPr>
        <w:t>Références dans l’élaboration des politiques d’atténuation des émissions de GES dans le secteur de l’énergie</w:t>
      </w:r>
      <w:r w:rsidR="00AF04D7">
        <w:rPr>
          <w:sz w:val="24"/>
          <w:szCs w:val="24"/>
          <w:lang w:eastAsia="fr-FR"/>
        </w:rPr>
        <w:t xml:space="preserve">, y compris les </w:t>
      </w:r>
      <w:r w:rsidR="00082130">
        <w:rPr>
          <w:sz w:val="24"/>
          <w:szCs w:val="24"/>
          <w:lang w:eastAsia="fr-FR"/>
        </w:rPr>
        <w:t>études</w:t>
      </w:r>
      <w:r w:rsidR="00AF04D7">
        <w:rPr>
          <w:sz w:val="24"/>
          <w:szCs w:val="24"/>
          <w:lang w:eastAsia="fr-FR"/>
        </w:rPr>
        <w:t xml:space="preserve"> </w:t>
      </w:r>
      <w:r w:rsidR="00E2787F">
        <w:rPr>
          <w:sz w:val="24"/>
          <w:szCs w:val="24"/>
          <w:lang w:eastAsia="fr-FR"/>
        </w:rPr>
        <w:t>prospectives</w:t>
      </w:r>
      <w:r w:rsidR="005276E4">
        <w:rPr>
          <w:sz w:val="24"/>
          <w:szCs w:val="24"/>
          <w:lang w:eastAsia="fr-FR"/>
        </w:rPr>
        <w:t> ;</w:t>
      </w:r>
    </w:p>
    <w:p w14:paraId="09CB5AC0" w14:textId="3E890E3B" w:rsidR="005276E4" w:rsidRDefault="005276E4" w:rsidP="00BD456A">
      <w:pPr>
        <w:pStyle w:val="Paragraphedeliste"/>
        <w:numPr>
          <w:ilvl w:val="0"/>
          <w:numId w:val="20"/>
        </w:numPr>
        <w:spacing w:line="276" w:lineRule="auto"/>
        <w:jc w:val="both"/>
        <w:rPr>
          <w:sz w:val="24"/>
          <w:szCs w:val="24"/>
          <w:lang w:eastAsia="fr-FR"/>
        </w:rPr>
      </w:pPr>
      <w:r>
        <w:rPr>
          <w:sz w:val="24"/>
          <w:szCs w:val="24"/>
          <w:lang w:eastAsia="fr-FR"/>
        </w:rPr>
        <w:t>Reference dans la mise en œuvre de l’Accord de Paris</w:t>
      </w:r>
      <w:r w:rsidR="001504D0">
        <w:rPr>
          <w:sz w:val="24"/>
          <w:szCs w:val="24"/>
          <w:lang w:eastAsia="fr-FR"/>
        </w:rPr>
        <w:t xml:space="preserve"> en </w:t>
      </w:r>
      <w:r w:rsidR="001268D3">
        <w:rPr>
          <w:sz w:val="24"/>
          <w:szCs w:val="24"/>
          <w:lang w:eastAsia="fr-FR"/>
        </w:rPr>
        <w:t>général</w:t>
      </w:r>
      <w:r w:rsidR="001504D0">
        <w:rPr>
          <w:sz w:val="24"/>
          <w:szCs w:val="24"/>
          <w:lang w:eastAsia="fr-FR"/>
        </w:rPr>
        <w:t xml:space="preserve"> </w:t>
      </w:r>
      <w:r>
        <w:rPr>
          <w:sz w:val="24"/>
          <w:szCs w:val="24"/>
          <w:lang w:eastAsia="fr-FR"/>
        </w:rPr>
        <w:t>et l’</w:t>
      </w:r>
      <w:r w:rsidR="00FB47D8">
        <w:rPr>
          <w:sz w:val="24"/>
          <w:szCs w:val="24"/>
          <w:lang w:eastAsia="fr-FR"/>
        </w:rPr>
        <w:t>élaboration</w:t>
      </w:r>
      <w:r>
        <w:rPr>
          <w:sz w:val="24"/>
          <w:szCs w:val="24"/>
          <w:lang w:eastAsia="fr-FR"/>
        </w:rPr>
        <w:t xml:space="preserve"> de la CDN</w:t>
      </w:r>
      <w:r w:rsidR="001504D0">
        <w:rPr>
          <w:sz w:val="24"/>
          <w:szCs w:val="24"/>
          <w:lang w:eastAsia="fr-FR"/>
        </w:rPr>
        <w:t xml:space="preserve"> en particulier</w:t>
      </w:r>
      <w:r w:rsidR="000C197E">
        <w:rPr>
          <w:sz w:val="24"/>
          <w:szCs w:val="24"/>
          <w:lang w:eastAsia="fr-FR"/>
        </w:rPr>
        <w:t> ;</w:t>
      </w:r>
    </w:p>
    <w:p w14:paraId="173D64AF" w14:textId="78238ED6" w:rsidR="001600F9" w:rsidRPr="007E6266" w:rsidRDefault="001600F9" w:rsidP="00BD456A">
      <w:pPr>
        <w:pStyle w:val="Paragraphedeliste"/>
        <w:numPr>
          <w:ilvl w:val="0"/>
          <w:numId w:val="20"/>
        </w:numPr>
        <w:spacing w:line="276" w:lineRule="auto"/>
        <w:jc w:val="both"/>
        <w:rPr>
          <w:sz w:val="24"/>
          <w:szCs w:val="24"/>
          <w:lang w:eastAsia="fr-FR"/>
        </w:rPr>
      </w:pPr>
      <w:r>
        <w:rPr>
          <w:sz w:val="24"/>
          <w:szCs w:val="24"/>
          <w:lang w:eastAsia="fr-FR"/>
        </w:rPr>
        <w:t xml:space="preserve">Reference dans le contexte de la </w:t>
      </w:r>
      <w:r w:rsidR="00483B04">
        <w:rPr>
          <w:sz w:val="24"/>
          <w:szCs w:val="24"/>
          <w:lang w:eastAsia="fr-FR"/>
        </w:rPr>
        <w:t>Guinée</w:t>
      </w:r>
      <w:r>
        <w:rPr>
          <w:sz w:val="24"/>
          <w:szCs w:val="24"/>
          <w:lang w:eastAsia="fr-FR"/>
        </w:rPr>
        <w:t xml:space="preserve"> Bissau ou les pays de l’Afrique de l’Ouest est un atout ; </w:t>
      </w:r>
    </w:p>
    <w:p w14:paraId="33A0A292" w14:textId="62D80464" w:rsidR="007E6266" w:rsidRPr="007E6266" w:rsidRDefault="007E6266" w:rsidP="00BD456A">
      <w:pPr>
        <w:pStyle w:val="Paragraphedeliste"/>
        <w:numPr>
          <w:ilvl w:val="0"/>
          <w:numId w:val="20"/>
        </w:numPr>
        <w:spacing w:line="276" w:lineRule="auto"/>
        <w:jc w:val="both"/>
        <w:rPr>
          <w:sz w:val="24"/>
          <w:szCs w:val="24"/>
          <w:lang w:eastAsia="fr-FR"/>
        </w:rPr>
      </w:pPr>
      <w:r w:rsidRPr="007E6266">
        <w:rPr>
          <w:sz w:val="24"/>
          <w:szCs w:val="24"/>
          <w:lang w:eastAsia="fr-FR"/>
        </w:rPr>
        <w:t>Maitrise de la langue française</w:t>
      </w:r>
      <w:r w:rsidR="00364CAA">
        <w:rPr>
          <w:sz w:val="24"/>
          <w:szCs w:val="24"/>
          <w:lang w:eastAsia="fr-FR"/>
        </w:rPr>
        <w:t xml:space="preserve"> et/ou Portugaise</w:t>
      </w:r>
      <w:r w:rsidRPr="007E6266">
        <w:rPr>
          <w:sz w:val="24"/>
          <w:szCs w:val="24"/>
          <w:lang w:eastAsia="fr-FR"/>
        </w:rPr>
        <w:t> ;</w:t>
      </w:r>
    </w:p>
    <w:p w14:paraId="3489970D" w14:textId="2EA7CC3C" w:rsidR="007E6266" w:rsidRPr="007E6266" w:rsidRDefault="007E6266" w:rsidP="00BD456A">
      <w:pPr>
        <w:pStyle w:val="Paragraphedeliste"/>
        <w:numPr>
          <w:ilvl w:val="0"/>
          <w:numId w:val="20"/>
        </w:numPr>
        <w:spacing w:line="276" w:lineRule="auto"/>
        <w:jc w:val="both"/>
        <w:rPr>
          <w:sz w:val="24"/>
          <w:szCs w:val="24"/>
          <w:lang w:eastAsia="fr-FR"/>
        </w:rPr>
      </w:pPr>
      <w:r w:rsidRPr="007E6266">
        <w:rPr>
          <w:sz w:val="24"/>
          <w:szCs w:val="24"/>
          <w:lang w:eastAsia="fr-FR"/>
        </w:rPr>
        <w:t>Grande faculté d</w:t>
      </w:r>
      <w:r w:rsidR="00D170AE">
        <w:rPr>
          <w:sz w:val="24"/>
          <w:szCs w:val="24"/>
          <w:lang w:eastAsia="fr-FR"/>
        </w:rPr>
        <w:t>’analyse, d</w:t>
      </w:r>
      <w:r w:rsidRPr="007E6266">
        <w:rPr>
          <w:sz w:val="24"/>
          <w:szCs w:val="24"/>
          <w:lang w:eastAsia="fr-FR"/>
        </w:rPr>
        <w:t>e communication et aptitude de présentation, animation et concertation.</w:t>
      </w:r>
    </w:p>
    <w:p w14:paraId="27F3B077" w14:textId="0641277A" w:rsidR="00171892" w:rsidRPr="009A78FC" w:rsidRDefault="00F6384A" w:rsidP="00BD456A">
      <w:pPr>
        <w:pStyle w:val="Paragraphedeliste"/>
        <w:numPr>
          <w:ilvl w:val="0"/>
          <w:numId w:val="11"/>
        </w:numPr>
        <w:spacing w:line="360" w:lineRule="auto"/>
        <w:jc w:val="both"/>
        <w:rPr>
          <w:rFonts w:eastAsia="MS Mincho"/>
          <w:sz w:val="24"/>
          <w:szCs w:val="24"/>
        </w:rPr>
      </w:pPr>
      <w:r>
        <w:rPr>
          <w:b/>
          <w:sz w:val="24"/>
          <w:szCs w:val="24"/>
          <w:lang w:eastAsia="fr-FR"/>
        </w:rPr>
        <w:t>E</w:t>
      </w:r>
      <w:r w:rsidR="00171892" w:rsidRPr="009A78FC">
        <w:rPr>
          <w:b/>
          <w:bCs/>
          <w:sz w:val="24"/>
          <w:szCs w:val="24"/>
          <w:lang w:eastAsia="fr-FR"/>
        </w:rPr>
        <w:t>xpert</w:t>
      </w:r>
      <w:r w:rsidR="007D65AC">
        <w:rPr>
          <w:b/>
          <w:bCs/>
          <w:sz w:val="24"/>
          <w:szCs w:val="24"/>
          <w:lang w:eastAsia="fr-FR"/>
        </w:rPr>
        <w:t>/e</w:t>
      </w:r>
      <w:r w:rsidR="00171892" w:rsidRPr="009A78FC">
        <w:rPr>
          <w:b/>
          <w:bCs/>
          <w:sz w:val="24"/>
          <w:szCs w:val="24"/>
          <w:lang w:eastAsia="fr-FR"/>
        </w:rPr>
        <w:t xml:space="preserve"> spécialiste dans la politique d’atténuat</w:t>
      </w:r>
      <w:r w:rsidR="00644B0D" w:rsidRPr="009A78FC">
        <w:rPr>
          <w:b/>
          <w:bCs/>
          <w:sz w:val="24"/>
          <w:szCs w:val="24"/>
          <w:lang w:eastAsia="fr-FR"/>
        </w:rPr>
        <w:t>ion dans le secteur de l’AFAT (Agriculture, Forêt et Affectation des terres)</w:t>
      </w:r>
      <w:r w:rsidR="00171892" w:rsidRPr="009A78FC">
        <w:rPr>
          <w:b/>
          <w:bCs/>
          <w:sz w:val="24"/>
          <w:szCs w:val="24"/>
          <w:lang w:eastAsia="fr-FR"/>
        </w:rPr>
        <w:t xml:space="preserve"> </w:t>
      </w:r>
      <w:r w:rsidR="00171892" w:rsidRPr="009A78FC">
        <w:rPr>
          <w:sz w:val="24"/>
          <w:szCs w:val="24"/>
        </w:rPr>
        <w:t>disposant des qualifications suivantes :</w:t>
      </w:r>
    </w:p>
    <w:p w14:paraId="7E76A513" w14:textId="2B5969CE" w:rsidR="00131C43" w:rsidRPr="0069090B" w:rsidRDefault="00131C43"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 xml:space="preserve">Diplôme : économiste/ingénieur ou équivalent. </w:t>
      </w:r>
    </w:p>
    <w:p w14:paraId="4AC58033" w14:textId="1CD59C9B" w:rsidR="00171892" w:rsidRPr="0069090B" w:rsidRDefault="00052495"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 xml:space="preserve">Expérience </w:t>
      </w:r>
      <w:r w:rsidR="00171892" w:rsidRPr="0069090B">
        <w:rPr>
          <w:sz w:val="24"/>
          <w:szCs w:val="24"/>
          <w:lang w:eastAsia="fr-FR"/>
        </w:rPr>
        <w:t xml:space="preserve">professionnelle en matière de politique d’atténuation des émissions de </w:t>
      </w:r>
      <w:r w:rsidR="00644B0D" w:rsidRPr="0069090B">
        <w:rPr>
          <w:sz w:val="24"/>
          <w:szCs w:val="24"/>
          <w:lang w:eastAsia="fr-FR"/>
        </w:rPr>
        <w:t>GES dans le secteur de l’AFAT</w:t>
      </w:r>
    </w:p>
    <w:p w14:paraId="008A510F" w14:textId="02E357DC" w:rsidR="00171892" w:rsidRPr="0069090B" w:rsidRDefault="00171892"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Références dans le domai</w:t>
      </w:r>
      <w:r w:rsidR="00644B0D" w:rsidRPr="0069090B">
        <w:rPr>
          <w:sz w:val="24"/>
          <w:szCs w:val="24"/>
          <w:lang w:eastAsia="fr-FR"/>
        </w:rPr>
        <w:t>ne de la politique d’atténuation dans le secteur de l’AFAT</w:t>
      </w:r>
    </w:p>
    <w:p w14:paraId="55545369" w14:textId="2CE3ED00" w:rsidR="00171892" w:rsidRDefault="00171892"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Maitrise de la langue française</w:t>
      </w:r>
      <w:r w:rsidR="000A2261">
        <w:rPr>
          <w:sz w:val="24"/>
          <w:szCs w:val="24"/>
          <w:lang w:eastAsia="fr-FR"/>
        </w:rPr>
        <w:t xml:space="preserve"> et/ou </w:t>
      </w:r>
      <w:r w:rsidR="00712AA2">
        <w:rPr>
          <w:sz w:val="24"/>
          <w:szCs w:val="24"/>
          <w:lang w:eastAsia="fr-FR"/>
        </w:rPr>
        <w:t>Portugaise</w:t>
      </w:r>
    </w:p>
    <w:p w14:paraId="230433F1" w14:textId="77777777" w:rsidR="00E83907" w:rsidRPr="007E6266" w:rsidRDefault="00E83907" w:rsidP="00BD456A">
      <w:pPr>
        <w:pStyle w:val="Paragraphedeliste"/>
        <w:numPr>
          <w:ilvl w:val="0"/>
          <w:numId w:val="10"/>
        </w:numPr>
        <w:spacing w:line="276" w:lineRule="auto"/>
        <w:ind w:left="1134"/>
        <w:jc w:val="both"/>
        <w:rPr>
          <w:sz w:val="24"/>
          <w:szCs w:val="24"/>
          <w:lang w:eastAsia="fr-FR"/>
        </w:rPr>
      </w:pPr>
      <w:r>
        <w:rPr>
          <w:sz w:val="24"/>
          <w:szCs w:val="24"/>
          <w:lang w:eastAsia="fr-FR"/>
        </w:rPr>
        <w:t xml:space="preserve">Reference dans le contexte de la Guinée Bissau ou les pays de l’Afrique de l’Ouest est un atout ; </w:t>
      </w:r>
    </w:p>
    <w:p w14:paraId="4E381982" w14:textId="77777777" w:rsidR="00052805" w:rsidRPr="0069090B" w:rsidRDefault="00171892"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Grande faculté de communication et aptitude de présentation, animation et concertation</w:t>
      </w:r>
    </w:p>
    <w:p w14:paraId="56D2D3FF" w14:textId="101338E0" w:rsidR="001111FA" w:rsidRDefault="001111FA" w:rsidP="00BD456A">
      <w:pPr>
        <w:pStyle w:val="Paragraphedeliste"/>
        <w:numPr>
          <w:ilvl w:val="0"/>
          <w:numId w:val="11"/>
        </w:numPr>
        <w:spacing w:line="360" w:lineRule="auto"/>
        <w:jc w:val="both"/>
        <w:rPr>
          <w:b/>
          <w:bCs/>
          <w:sz w:val="24"/>
          <w:szCs w:val="24"/>
          <w:lang w:eastAsia="fr-FR"/>
        </w:rPr>
      </w:pPr>
      <w:r>
        <w:rPr>
          <w:b/>
          <w:bCs/>
          <w:sz w:val="24"/>
          <w:szCs w:val="24"/>
          <w:lang w:eastAsia="fr-FR"/>
        </w:rPr>
        <w:t>Expert</w:t>
      </w:r>
      <w:r w:rsidR="00D61D94">
        <w:rPr>
          <w:b/>
          <w:bCs/>
          <w:sz w:val="24"/>
          <w:szCs w:val="24"/>
          <w:lang w:eastAsia="fr-FR"/>
        </w:rPr>
        <w:t xml:space="preserve">/e en </w:t>
      </w:r>
      <w:r w:rsidR="004C3845">
        <w:rPr>
          <w:b/>
          <w:bCs/>
          <w:sz w:val="24"/>
          <w:szCs w:val="24"/>
          <w:lang w:eastAsia="fr-FR"/>
        </w:rPr>
        <w:t>élaboration</w:t>
      </w:r>
      <w:r w:rsidR="00D61D94">
        <w:rPr>
          <w:b/>
          <w:bCs/>
          <w:sz w:val="24"/>
          <w:szCs w:val="24"/>
          <w:lang w:eastAsia="fr-FR"/>
        </w:rPr>
        <w:t xml:space="preserve"> des inventaires de GES :  </w:t>
      </w:r>
    </w:p>
    <w:p w14:paraId="7043EBB6" w14:textId="77777777" w:rsidR="003A078E" w:rsidRPr="007E6266" w:rsidRDefault="003A078E" w:rsidP="00BD456A">
      <w:pPr>
        <w:pStyle w:val="Paragraphedeliste"/>
        <w:numPr>
          <w:ilvl w:val="0"/>
          <w:numId w:val="10"/>
        </w:numPr>
        <w:spacing w:line="276" w:lineRule="auto"/>
        <w:ind w:left="1134"/>
        <w:jc w:val="both"/>
        <w:rPr>
          <w:sz w:val="24"/>
          <w:szCs w:val="24"/>
          <w:lang w:eastAsia="fr-FR"/>
        </w:rPr>
      </w:pPr>
      <w:r w:rsidRPr="007E6266">
        <w:rPr>
          <w:sz w:val="24"/>
          <w:szCs w:val="24"/>
          <w:lang w:eastAsia="fr-FR"/>
        </w:rPr>
        <w:t xml:space="preserve">Diplôme : Economiste/ingénieur ou équivalent ; </w:t>
      </w:r>
    </w:p>
    <w:p w14:paraId="78B68C71" w14:textId="109E3083" w:rsidR="003A078E" w:rsidRPr="007E6266" w:rsidRDefault="003A078E" w:rsidP="00BD456A">
      <w:pPr>
        <w:pStyle w:val="Paragraphedeliste"/>
        <w:numPr>
          <w:ilvl w:val="0"/>
          <w:numId w:val="10"/>
        </w:numPr>
        <w:spacing w:line="276" w:lineRule="auto"/>
        <w:ind w:left="1134"/>
        <w:jc w:val="both"/>
        <w:rPr>
          <w:sz w:val="24"/>
          <w:szCs w:val="24"/>
          <w:lang w:eastAsia="fr-FR"/>
        </w:rPr>
      </w:pPr>
      <w:r w:rsidRPr="007E6266">
        <w:rPr>
          <w:sz w:val="24"/>
          <w:szCs w:val="24"/>
          <w:lang w:eastAsia="fr-FR"/>
        </w:rPr>
        <w:t xml:space="preserve">Expérience professionnelle en matière de politique d’atténuation ; </w:t>
      </w:r>
    </w:p>
    <w:p w14:paraId="0E36B77A" w14:textId="39085FD4" w:rsidR="003A078E" w:rsidRDefault="003A078E" w:rsidP="00BD456A">
      <w:pPr>
        <w:pStyle w:val="Paragraphedeliste"/>
        <w:numPr>
          <w:ilvl w:val="0"/>
          <w:numId w:val="10"/>
        </w:numPr>
        <w:spacing w:line="276" w:lineRule="auto"/>
        <w:ind w:left="1134"/>
        <w:jc w:val="both"/>
        <w:rPr>
          <w:sz w:val="24"/>
          <w:szCs w:val="24"/>
          <w:lang w:eastAsia="fr-FR"/>
        </w:rPr>
      </w:pPr>
      <w:r w:rsidRPr="007E6266">
        <w:rPr>
          <w:sz w:val="24"/>
          <w:szCs w:val="24"/>
          <w:lang w:eastAsia="fr-FR"/>
        </w:rPr>
        <w:t xml:space="preserve">Références dans l’élaboration </w:t>
      </w:r>
      <w:r w:rsidR="00437E5B">
        <w:rPr>
          <w:sz w:val="24"/>
          <w:szCs w:val="24"/>
          <w:lang w:eastAsia="fr-FR"/>
        </w:rPr>
        <w:t>des inventaires nationaux et/ou sectoriels</w:t>
      </w:r>
      <w:r>
        <w:rPr>
          <w:sz w:val="24"/>
          <w:szCs w:val="24"/>
          <w:lang w:eastAsia="fr-FR"/>
        </w:rPr>
        <w:t> </w:t>
      </w:r>
      <w:r w:rsidR="00437E5B">
        <w:rPr>
          <w:sz w:val="24"/>
          <w:szCs w:val="24"/>
          <w:lang w:eastAsia="fr-FR"/>
        </w:rPr>
        <w:t xml:space="preserve">des émissions de </w:t>
      </w:r>
      <w:r w:rsidR="00B959C1">
        <w:rPr>
          <w:sz w:val="24"/>
          <w:szCs w:val="24"/>
          <w:lang w:eastAsia="fr-FR"/>
        </w:rPr>
        <w:t>GES ;</w:t>
      </w:r>
    </w:p>
    <w:p w14:paraId="24CDCCA6" w14:textId="77777777" w:rsidR="003A078E" w:rsidRPr="007E6266" w:rsidRDefault="003A078E" w:rsidP="00BD456A">
      <w:pPr>
        <w:pStyle w:val="Paragraphedeliste"/>
        <w:numPr>
          <w:ilvl w:val="0"/>
          <w:numId w:val="10"/>
        </w:numPr>
        <w:spacing w:line="276" w:lineRule="auto"/>
        <w:ind w:left="1134"/>
        <w:jc w:val="both"/>
        <w:rPr>
          <w:sz w:val="24"/>
          <w:szCs w:val="24"/>
          <w:lang w:eastAsia="fr-FR"/>
        </w:rPr>
      </w:pPr>
      <w:r>
        <w:rPr>
          <w:sz w:val="24"/>
          <w:szCs w:val="24"/>
          <w:lang w:eastAsia="fr-FR"/>
        </w:rPr>
        <w:t xml:space="preserve">Reference dans le contexte de la Guinée Bissau ou les pays de l’Afrique de l’Ouest est un atout ; </w:t>
      </w:r>
    </w:p>
    <w:p w14:paraId="0630B03C" w14:textId="77777777" w:rsidR="003A078E" w:rsidRPr="007E6266" w:rsidRDefault="003A078E" w:rsidP="00BD456A">
      <w:pPr>
        <w:pStyle w:val="Paragraphedeliste"/>
        <w:numPr>
          <w:ilvl w:val="0"/>
          <w:numId w:val="10"/>
        </w:numPr>
        <w:spacing w:line="276" w:lineRule="auto"/>
        <w:ind w:left="1134"/>
        <w:jc w:val="both"/>
        <w:rPr>
          <w:sz w:val="24"/>
          <w:szCs w:val="24"/>
          <w:lang w:eastAsia="fr-FR"/>
        </w:rPr>
      </w:pPr>
      <w:r w:rsidRPr="007E6266">
        <w:rPr>
          <w:sz w:val="24"/>
          <w:szCs w:val="24"/>
          <w:lang w:eastAsia="fr-FR"/>
        </w:rPr>
        <w:t>Maitrise de la langue française</w:t>
      </w:r>
      <w:r>
        <w:rPr>
          <w:sz w:val="24"/>
          <w:szCs w:val="24"/>
          <w:lang w:eastAsia="fr-FR"/>
        </w:rPr>
        <w:t xml:space="preserve"> et/ou Portugaise</w:t>
      </w:r>
      <w:r w:rsidRPr="007E6266">
        <w:rPr>
          <w:sz w:val="24"/>
          <w:szCs w:val="24"/>
          <w:lang w:eastAsia="fr-FR"/>
        </w:rPr>
        <w:t> ;</w:t>
      </w:r>
    </w:p>
    <w:p w14:paraId="1AB8EB1B" w14:textId="57BBB31A" w:rsidR="00935812" w:rsidRPr="00D51597" w:rsidRDefault="002149DD" w:rsidP="00BD456A">
      <w:pPr>
        <w:pStyle w:val="Paragraphedeliste"/>
        <w:numPr>
          <w:ilvl w:val="0"/>
          <w:numId w:val="11"/>
        </w:numPr>
        <w:spacing w:line="360" w:lineRule="auto"/>
        <w:jc w:val="both"/>
        <w:rPr>
          <w:b/>
          <w:bCs/>
          <w:sz w:val="24"/>
          <w:szCs w:val="24"/>
          <w:lang w:eastAsia="fr-FR"/>
        </w:rPr>
      </w:pPr>
      <w:r>
        <w:rPr>
          <w:b/>
          <w:bCs/>
          <w:sz w:val="24"/>
          <w:szCs w:val="24"/>
          <w:lang w:eastAsia="fr-FR"/>
        </w:rPr>
        <w:t>Expert/e s</w:t>
      </w:r>
      <w:r w:rsidR="00052805" w:rsidRPr="00D51597">
        <w:rPr>
          <w:b/>
          <w:bCs/>
          <w:sz w:val="24"/>
          <w:szCs w:val="24"/>
          <w:lang w:eastAsia="fr-FR"/>
        </w:rPr>
        <w:t>pécialiste en genre</w:t>
      </w:r>
      <w:r w:rsidR="00870B6C" w:rsidRPr="00D51597">
        <w:rPr>
          <w:b/>
          <w:bCs/>
          <w:sz w:val="24"/>
          <w:szCs w:val="24"/>
          <w:lang w:eastAsia="fr-FR"/>
        </w:rPr>
        <w:t xml:space="preserve"> : </w:t>
      </w:r>
    </w:p>
    <w:p w14:paraId="670185DF" w14:textId="1D0F40F1" w:rsidR="00870B6C" w:rsidRPr="0069090B" w:rsidRDefault="00870B6C"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Diplôme </w:t>
      </w:r>
      <w:r w:rsidR="00F324E7" w:rsidRPr="0069090B">
        <w:rPr>
          <w:sz w:val="24"/>
          <w:szCs w:val="24"/>
          <w:lang w:eastAsia="fr-FR"/>
        </w:rPr>
        <w:t>en</w:t>
      </w:r>
      <w:r w:rsidRPr="0069090B">
        <w:rPr>
          <w:sz w:val="24"/>
          <w:szCs w:val="24"/>
          <w:lang w:eastAsia="fr-FR"/>
        </w:rPr>
        <w:t xml:space="preserve"> </w:t>
      </w:r>
      <w:r w:rsidR="00723ABE" w:rsidRPr="0069090B">
        <w:rPr>
          <w:sz w:val="24"/>
          <w:szCs w:val="24"/>
          <w:lang w:eastAsia="fr-FR"/>
        </w:rPr>
        <w:t>sciences sociales</w:t>
      </w:r>
      <w:r w:rsidR="00F324E7" w:rsidRPr="0069090B">
        <w:rPr>
          <w:sz w:val="24"/>
          <w:szCs w:val="24"/>
          <w:lang w:eastAsia="fr-FR"/>
        </w:rPr>
        <w:t xml:space="preserve"> ou équivalent</w:t>
      </w:r>
      <w:r w:rsidRPr="0069090B">
        <w:rPr>
          <w:sz w:val="24"/>
          <w:szCs w:val="24"/>
          <w:lang w:eastAsia="fr-FR"/>
        </w:rPr>
        <w:t xml:space="preserve"> </w:t>
      </w:r>
    </w:p>
    <w:p w14:paraId="11EE7E58" w14:textId="2EA2DF08" w:rsidR="00723D2A" w:rsidRPr="0069090B" w:rsidRDefault="00723D2A"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 xml:space="preserve">Références dans le </w:t>
      </w:r>
      <w:r w:rsidR="00387999" w:rsidRPr="0069090B">
        <w:rPr>
          <w:sz w:val="24"/>
          <w:szCs w:val="24"/>
          <w:lang w:eastAsia="fr-FR"/>
        </w:rPr>
        <w:t xml:space="preserve">développement </w:t>
      </w:r>
      <w:r w:rsidRPr="0069090B">
        <w:rPr>
          <w:sz w:val="24"/>
          <w:szCs w:val="24"/>
          <w:lang w:eastAsia="fr-FR"/>
        </w:rPr>
        <w:t>d’études, rapports</w:t>
      </w:r>
      <w:r w:rsidR="00311851" w:rsidRPr="0069090B">
        <w:rPr>
          <w:sz w:val="24"/>
          <w:szCs w:val="24"/>
          <w:lang w:eastAsia="fr-FR"/>
        </w:rPr>
        <w:t>, analyses</w:t>
      </w:r>
      <w:r w:rsidRPr="0069090B">
        <w:rPr>
          <w:sz w:val="24"/>
          <w:szCs w:val="24"/>
          <w:lang w:eastAsia="fr-FR"/>
        </w:rPr>
        <w:t xml:space="preserve"> ou travaux d’expertise </w:t>
      </w:r>
      <w:r w:rsidR="00C170A9" w:rsidRPr="0069090B">
        <w:rPr>
          <w:sz w:val="24"/>
          <w:szCs w:val="24"/>
          <w:lang w:eastAsia="fr-FR"/>
        </w:rPr>
        <w:t xml:space="preserve">de manière générale </w:t>
      </w:r>
      <w:r w:rsidRPr="0069090B">
        <w:rPr>
          <w:sz w:val="24"/>
          <w:szCs w:val="24"/>
          <w:lang w:eastAsia="fr-FR"/>
        </w:rPr>
        <w:t>en matière d</w:t>
      </w:r>
      <w:r w:rsidR="00697342" w:rsidRPr="0069090B">
        <w:rPr>
          <w:sz w:val="24"/>
          <w:szCs w:val="24"/>
          <w:lang w:eastAsia="fr-FR"/>
        </w:rPr>
        <w:t xml:space="preserve">’égalité </w:t>
      </w:r>
      <w:r w:rsidRPr="0069090B">
        <w:rPr>
          <w:sz w:val="24"/>
          <w:szCs w:val="24"/>
          <w:lang w:eastAsia="fr-FR"/>
        </w:rPr>
        <w:t xml:space="preserve">genre. </w:t>
      </w:r>
    </w:p>
    <w:p w14:paraId="05719E82" w14:textId="57AE91D1" w:rsidR="00723D2A" w:rsidRPr="0069090B" w:rsidRDefault="00480057"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R</w:t>
      </w:r>
      <w:r w:rsidR="00723D2A" w:rsidRPr="0069090B">
        <w:rPr>
          <w:sz w:val="24"/>
          <w:szCs w:val="24"/>
          <w:lang w:eastAsia="fr-FR"/>
        </w:rPr>
        <w:t xml:space="preserve">éférences en matière </w:t>
      </w:r>
      <w:r w:rsidR="00025C18" w:rsidRPr="0069090B">
        <w:rPr>
          <w:sz w:val="24"/>
          <w:szCs w:val="24"/>
          <w:lang w:eastAsia="fr-FR"/>
        </w:rPr>
        <w:t xml:space="preserve">de </w:t>
      </w:r>
      <w:r w:rsidR="006966F7">
        <w:rPr>
          <w:sz w:val="24"/>
          <w:szCs w:val="24"/>
          <w:lang w:eastAsia="fr-FR"/>
        </w:rPr>
        <w:t>genre et climat</w:t>
      </w:r>
      <w:r w:rsidR="00025C18" w:rsidRPr="0069090B">
        <w:rPr>
          <w:sz w:val="24"/>
          <w:szCs w:val="24"/>
          <w:lang w:eastAsia="fr-FR"/>
        </w:rPr>
        <w:t xml:space="preserve"> </w:t>
      </w:r>
      <w:r w:rsidR="00723D2A" w:rsidRPr="0069090B">
        <w:rPr>
          <w:sz w:val="24"/>
          <w:szCs w:val="24"/>
          <w:lang w:eastAsia="fr-FR"/>
        </w:rPr>
        <w:t xml:space="preserve">; </w:t>
      </w:r>
    </w:p>
    <w:p w14:paraId="406C2FA0" w14:textId="77777777" w:rsidR="00257AFB" w:rsidRPr="006521D2" w:rsidRDefault="00257AFB" w:rsidP="00BD456A">
      <w:pPr>
        <w:pStyle w:val="Paragraphedeliste"/>
        <w:numPr>
          <w:ilvl w:val="0"/>
          <w:numId w:val="10"/>
        </w:numPr>
        <w:spacing w:line="276" w:lineRule="auto"/>
        <w:ind w:left="1134"/>
        <w:jc w:val="both"/>
        <w:rPr>
          <w:sz w:val="24"/>
          <w:szCs w:val="24"/>
          <w:lang w:eastAsia="fr-FR"/>
        </w:rPr>
      </w:pPr>
      <w:r w:rsidRPr="006521D2">
        <w:rPr>
          <w:sz w:val="24"/>
          <w:szCs w:val="24"/>
          <w:lang w:eastAsia="fr-FR"/>
        </w:rPr>
        <w:t xml:space="preserve">Maitrise de la langue française et/ou Portugaise  </w:t>
      </w:r>
    </w:p>
    <w:p w14:paraId="3F770C24" w14:textId="77E03AEC" w:rsidR="00870B6C" w:rsidRPr="0069090B" w:rsidRDefault="00870B6C" w:rsidP="00BD456A">
      <w:pPr>
        <w:pStyle w:val="Paragraphedeliste"/>
        <w:numPr>
          <w:ilvl w:val="0"/>
          <w:numId w:val="10"/>
        </w:numPr>
        <w:spacing w:line="276" w:lineRule="auto"/>
        <w:ind w:left="1134"/>
        <w:jc w:val="both"/>
        <w:rPr>
          <w:sz w:val="24"/>
          <w:szCs w:val="24"/>
          <w:lang w:eastAsia="fr-FR"/>
        </w:rPr>
      </w:pPr>
      <w:r w:rsidRPr="0069090B">
        <w:rPr>
          <w:sz w:val="24"/>
          <w:szCs w:val="24"/>
          <w:lang w:eastAsia="fr-FR"/>
        </w:rPr>
        <w:t>Grande faculté d</w:t>
      </w:r>
      <w:r w:rsidR="003110DD">
        <w:rPr>
          <w:sz w:val="24"/>
          <w:szCs w:val="24"/>
          <w:lang w:eastAsia="fr-FR"/>
        </w:rPr>
        <w:t xml:space="preserve">’analyse, de </w:t>
      </w:r>
      <w:r w:rsidRPr="0069090B">
        <w:rPr>
          <w:sz w:val="24"/>
          <w:szCs w:val="24"/>
          <w:lang w:eastAsia="fr-FR"/>
        </w:rPr>
        <w:t>communication et aptitude de présentation, animation et concertation</w:t>
      </w:r>
    </w:p>
    <w:p w14:paraId="62C9CEAD" w14:textId="394286DF" w:rsidR="00171892" w:rsidRPr="000B435D" w:rsidRDefault="00171892" w:rsidP="000B435D">
      <w:pPr>
        <w:spacing w:after="0" w:line="240" w:lineRule="auto"/>
        <w:jc w:val="both"/>
        <w:rPr>
          <w:rFonts w:ascii="Times New Roman" w:hAnsi="Times New Roman" w:cs="Times New Roman"/>
          <w:color w:val="000000"/>
          <w:sz w:val="24"/>
          <w:szCs w:val="24"/>
        </w:rPr>
      </w:pPr>
      <w:r w:rsidRPr="000B435D">
        <w:rPr>
          <w:rFonts w:cs="Times New Roman"/>
          <w:color w:val="000000"/>
          <w:sz w:val="24"/>
          <w:szCs w:val="24"/>
        </w:rPr>
        <w:t xml:space="preserve">Le soumissionnaire </w:t>
      </w:r>
      <w:r w:rsidRPr="00935663">
        <w:rPr>
          <w:rFonts w:cs="Times New Roman"/>
          <w:b/>
          <w:bCs/>
          <w:color w:val="000000"/>
          <w:sz w:val="24"/>
          <w:szCs w:val="24"/>
        </w:rPr>
        <w:t>désignera, pour chaque poste, l’expert à considérer</w:t>
      </w:r>
      <w:r w:rsidR="00935663" w:rsidRPr="00935663">
        <w:rPr>
          <w:rFonts w:cs="Times New Roman"/>
          <w:b/>
          <w:bCs/>
          <w:color w:val="000000"/>
          <w:sz w:val="24"/>
          <w:szCs w:val="24"/>
        </w:rPr>
        <w:t xml:space="preserve"> comme </w:t>
      </w:r>
      <w:r w:rsidR="00407800" w:rsidRPr="00935663">
        <w:rPr>
          <w:rFonts w:cs="Times New Roman"/>
          <w:b/>
          <w:bCs/>
          <w:color w:val="000000"/>
          <w:sz w:val="24"/>
          <w:szCs w:val="24"/>
        </w:rPr>
        <w:t>mentionné</w:t>
      </w:r>
      <w:r w:rsidR="00935663" w:rsidRPr="00935663">
        <w:rPr>
          <w:rFonts w:cs="Times New Roman"/>
          <w:b/>
          <w:bCs/>
          <w:color w:val="000000"/>
          <w:sz w:val="24"/>
          <w:szCs w:val="24"/>
        </w:rPr>
        <w:t xml:space="preserve"> ci haut</w:t>
      </w:r>
      <w:r w:rsidRPr="00935663">
        <w:rPr>
          <w:rFonts w:cs="Times New Roman"/>
          <w:b/>
          <w:bCs/>
          <w:color w:val="000000"/>
          <w:sz w:val="24"/>
          <w:szCs w:val="24"/>
        </w:rPr>
        <w:t xml:space="preserve"> pour la notation</w:t>
      </w:r>
      <w:r w:rsidRPr="000B435D">
        <w:rPr>
          <w:rFonts w:cs="Times New Roman"/>
          <w:color w:val="000000"/>
          <w:sz w:val="24"/>
          <w:szCs w:val="24"/>
        </w:rPr>
        <w:t xml:space="preserve">. Faute de cette </w:t>
      </w:r>
      <w:r w:rsidRPr="000B435D">
        <w:rPr>
          <w:rFonts w:eastAsia="Times New Roman" w:cs="Times New Roman"/>
          <w:bCs/>
          <w:color w:val="000000"/>
          <w:sz w:val="24"/>
          <w:szCs w:val="24"/>
          <w:lang w:eastAsia="fr-FR"/>
        </w:rPr>
        <w:t>désignation, la note appliquée à chaque poste d’expertise sera la moyenne arithmétique des notes des experts proposés pour ce poste</w:t>
      </w:r>
      <w:r w:rsidRPr="000B435D">
        <w:rPr>
          <w:rFonts w:ascii="Times New Roman" w:hAnsi="Times New Roman" w:cs="Times New Roman"/>
          <w:color w:val="000000"/>
          <w:sz w:val="24"/>
          <w:szCs w:val="24"/>
        </w:rPr>
        <w:t>.</w:t>
      </w:r>
    </w:p>
    <w:p w14:paraId="7A2BB011" w14:textId="483CF6E6" w:rsidR="003721F1" w:rsidRDefault="00171892" w:rsidP="009A78FC">
      <w:pPr>
        <w:jc w:val="both"/>
        <w:rPr>
          <w:bCs/>
          <w:color w:val="000000"/>
          <w:sz w:val="24"/>
          <w:szCs w:val="24"/>
        </w:rPr>
      </w:pPr>
      <w:r w:rsidRPr="009A78FC">
        <w:rPr>
          <w:bCs/>
          <w:color w:val="000000"/>
          <w:sz w:val="24"/>
          <w:szCs w:val="24"/>
        </w:rPr>
        <w:t>Le soumissionnaire pourrait renforcer l’équipe d’experts qu’il propose par une expertise d’appui</w:t>
      </w:r>
      <w:r w:rsidR="00304212">
        <w:rPr>
          <w:bCs/>
          <w:color w:val="000000"/>
          <w:sz w:val="24"/>
          <w:szCs w:val="24"/>
        </w:rPr>
        <w:t xml:space="preserve"> dans les domaines pertinents </w:t>
      </w:r>
      <w:r w:rsidR="00DD3CF7">
        <w:rPr>
          <w:bCs/>
          <w:color w:val="000000"/>
          <w:sz w:val="24"/>
          <w:szCs w:val="24"/>
        </w:rPr>
        <w:t>à</w:t>
      </w:r>
      <w:r w:rsidR="00304212">
        <w:rPr>
          <w:bCs/>
          <w:color w:val="000000"/>
          <w:sz w:val="24"/>
          <w:szCs w:val="24"/>
        </w:rPr>
        <w:t xml:space="preserve"> la mission (</w:t>
      </w:r>
      <w:r w:rsidR="00DD3CF7">
        <w:rPr>
          <w:bCs/>
          <w:color w:val="000000"/>
          <w:sz w:val="24"/>
          <w:szCs w:val="24"/>
        </w:rPr>
        <w:t>élaboration de l’</w:t>
      </w:r>
      <w:r w:rsidR="00304212">
        <w:rPr>
          <w:bCs/>
          <w:color w:val="000000"/>
          <w:sz w:val="24"/>
          <w:szCs w:val="24"/>
        </w:rPr>
        <w:t xml:space="preserve">inventaire GES, </w:t>
      </w:r>
      <w:r w:rsidR="0062488F">
        <w:rPr>
          <w:bCs/>
          <w:color w:val="000000"/>
          <w:sz w:val="24"/>
          <w:szCs w:val="24"/>
        </w:rPr>
        <w:t>économiste</w:t>
      </w:r>
      <w:r w:rsidR="002037A9">
        <w:rPr>
          <w:bCs/>
          <w:color w:val="000000"/>
          <w:sz w:val="24"/>
          <w:szCs w:val="24"/>
        </w:rPr>
        <w:t xml:space="preserve">, </w:t>
      </w:r>
      <w:r w:rsidR="00830DD5">
        <w:rPr>
          <w:bCs/>
          <w:color w:val="000000"/>
          <w:sz w:val="24"/>
          <w:szCs w:val="24"/>
        </w:rPr>
        <w:t xml:space="preserve">expert en déchets, </w:t>
      </w:r>
      <w:r w:rsidR="002037A9">
        <w:rPr>
          <w:bCs/>
          <w:color w:val="000000"/>
          <w:sz w:val="24"/>
          <w:szCs w:val="24"/>
        </w:rPr>
        <w:t>etc…)</w:t>
      </w:r>
      <w:r w:rsidRPr="009A78FC">
        <w:rPr>
          <w:bCs/>
          <w:color w:val="000000"/>
          <w:sz w:val="24"/>
          <w:szCs w:val="24"/>
        </w:rPr>
        <w:t xml:space="preserve">. </w:t>
      </w:r>
      <w:r w:rsidR="006073BC">
        <w:rPr>
          <w:bCs/>
          <w:color w:val="000000"/>
          <w:sz w:val="24"/>
          <w:szCs w:val="24"/>
        </w:rPr>
        <w:t>Le</w:t>
      </w:r>
      <w:r w:rsidR="00DC3894">
        <w:rPr>
          <w:bCs/>
          <w:color w:val="000000"/>
          <w:sz w:val="24"/>
          <w:szCs w:val="24"/>
        </w:rPr>
        <w:t xml:space="preserve"> bureau d’</w:t>
      </w:r>
      <w:r w:rsidR="00935663">
        <w:rPr>
          <w:bCs/>
          <w:color w:val="000000"/>
          <w:sz w:val="24"/>
          <w:szCs w:val="24"/>
        </w:rPr>
        <w:t>études</w:t>
      </w:r>
      <w:r w:rsidR="00DC3894">
        <w:rPr>
          <w:bCs/>
          <w:color w:val="000000"/>
          <w:sz w:val="24"/>
          <w:szCs w:val="24"/>
        </w:rPr>
        <w:t xml:space="preserve"> devra </w:t>
      </w:r>
      <w:r w:rsidR="00DC3894" w:rsidRPr="00935663">
        <w:rPr>
          <w:b/>
          <w:color w:val="000000"/>
          <w:sz w:val="24"/>
          <w:szCs w:val="24"/>
        </w:rPr>
        <w:t>avoir au moins un expert national</w:t>
      </w:r>
      <w:r w:rsidR="00DC3894">
        <w:rPr>
          <w:bCs/>
          <w:color w:val="000000"/>
          <w:sz w:val="24"/>
          <w:szCs w:val="24"/>
        </w:rPr>
        <w:t xml:space="preserve"> dans la liste du personnel</w:t>
      </w:r>
      <w:r w:rsidR="003721F1">
        <w:rPr>
          <w:bCs/>
          <w:color w:val="000000"/>
          <w:sz w:val="24"/>
          <w:szCs w:val="24"/>
        </w:rPr>
        <w:t xml:space="preserve"> </w:t>
      </w:r>
      <w:r w:rsidR="00935663">
        <w:rPr>
          <w:bCs/>
          <w:color w:val="000000"/>
          <w:sz w:val="24"/>
          <w:szCs w:val="24"/>
        </w:rPr>
        <w:t>à</w:t>
      </w:r>
      <w:r w:rsidR="003721F1">
        <w:rPr>
          <w:bCs/>
          <w:color w:val="000000"/>
          <w:sz w:val="24"/>
          <w:szCs w:val="24"/>
        </w:rPr>
        <w:t xml:space="preserve"> présenter dans l’offre et ce afin de garantir la proximité avec la partie nationale, faciliter la </w:t>
      </w:r>
      <w:r w:rsidR="00935663">
        <w:rPr>
          <w:bCs/>
          <w:color w:val="000000"/>
          <w:sz w:val="24"/>
          <w:szCs w:val="24"/>
        </w:rPr>
        <w:t>communication</w:t>
      </w:r>
      <w:r w:rsidR="003721F1">
        <w:rPr>
          <w:bCs/>
          <w:color w:val="000000"/>
          <w:sz w:val="24"/>
          <w:szCs w:val="24"/>
        </w:rPr>
        <w:t xml:space="preserve"> dans la langue locale et transférer le </w:t>
      </w:r>
      <w:r w:rsidR="009D7CD9">
        <w:rPr>
          <w:bCs/>
          <w:color w:val="000000"/>
          <w:sz w:val="24"/>
          <w:szCs w:val="24"/>
        </w:rPr>
        <w:t>savoir-faire</w:t>
      </w:r>
      <w:r w:rsidR="003721F1">
        <w:rPr>
          <w:bCs/>
          <w:color w:val="000000"/>
          <w:sz w:val="24"/>
          <w:szCs w:val="24"/>
        </w:rPr>
        <w:t>.</w:t>
      </w:r>
    </w:p>
    <w:p w14:paraId="7E17C4D5" w14:textId="5CB3D628" w:rsidR="00171892" w:rsidRPr="009A78FC" w:rsidRDefault="00DC3894" w:rsidP="009A78FC">
      <w:pPr>
        <w:jc w:val="both"/>
        <w:rPr>
          <w:b/>
          <w:bCs/>
          <w:color w:val="000000"/>
          <w:sz w:val="24"/>
          <w:szCs w:val="24"/>
          <w:lang w:eastAsia="fr-FR"/>
        </w:rPr>
      </w:pPr>
      <w:r>
        <w:rPr>
          <w:bCs/>
          <w:color w:val="000000"/>
          <w:sz w:val="24"/>
          <w:szCs w:val="24"/>
        </w:rPr>
        <w:t xml:space="preserve"> </w:t>
      </w:r>
      <w:r w:rsidR="00171892" w:rsidRPr="009A78FC">
        <w:rPr>
          <w:bCs/>
          <w:color w:val="000000"/>
          <w:sz w:val="24"/>
          <w:szCs w:val="24"/>
        </w:rPr>
        <w:t>Les experts d’appui ainsi que leurs rôles doivent être clairement mentionnés dans l’offre technique du soumissionnaire, y compris l’intervention en termes d’hommes-jours</w:t>
      </w:r>
      <w:r w:rsidR="00FC0CCC">
        <w:rPr>
          <w:bCs/>
          <w:color w:val="000000"/>
          <w:sz w:val="24"/>
          <w:szCs w:val="24"/>
        </w:rPr>
        <w:t xml:space="preserve"> dans l’offre financière</w:t>
      </w:r>
      <w:r w:rsidR="00171892" w:rsidRPr="00D51597">
        <w:rPr>
          <w:b/>
          <w:color w:val="000000"/>
          <w:sz w:val="24"/>
          <w:szCs w:val="24"/>
        </w:rPr>
        <w:t>. Toutefois, l’expertise d’appui ne sera pas notée et ne devra pas dépasser l’effort d’hommes-jours de l’expertise clé</w:t>
      </w:r>
      <w:r w:rsidR="00171892" w:rsidRPr="009A78FC">
        <w:rPr>
          <w:bCs/>
          <w:color w:val="000000"/>
          <w:sz w:val="24"/>
          <w:szCs w:val="24"/>
        </w:rPr>
        <w:t>, supposé intervenir dans la mission comme expertise principale à noter. Également, le coût associé à cette expertise d’appui doit être clairement mentionné et faire partie intégrante de l’offre financière</w:t>
      </w:r>
      <w:r w:rsidR="00D539E8">
        <w:rPr>
          <w:bCs/>
          <w:color w:val="000000"/>
          <w:sz w:val="24"/>
          <w:szCs w:val="24"/>
        </w:rPr>
        <w:t>.</w:t>
      </w:r>
    </w:p>
    <w:p w14:paraId="71D299E8" w14:textId="3085E4CD" w:rsidR="00171892" w:rsidRPr="009A78FC" w:rsidRDefault="00171892" w:rsidP="00BD456A">
      <w:pPr>
        <w:pStyle w:val="Paragraphedeliste"/>
        <w:numPr>
          <w:ilvl w:val="0"/>
          <w:numId w:val="17"/>
        </w:numPr>
        <w:jc w:val="both"/>
        <w:rPr>
          <w:b/>
          <w:sz w:val="24"/>
          <w:szCs w:val="24"/>
        </w:rPr>
      </w:pPr>
      <w:r w:rsidRPr="009A78FC">
        <w:rPr>
          <w:b/>
          <w:sz w:val="24"/>
          <w:szCs w:val="24"/>
        </w:rPr>
        <w:t>LIEU DES TRAVAUX DE LA MISSION</w:t>
      </w:r>
    </w:p>
    <w:p w14:paraId="37674A93" w14:textId="4AEBE75E" w:rsidR="00171892" w:rsidRDefault="00171892" w:rsidP="009A78FC">
      <w:pPr>
        <w:jc w:val="both"/>
        <w:rPr>
          <w:sz w:val="24"/>
          <w:szCs w:val="24"/>
        </w:rPr>
      </w:pPr>
      <w:r w:rsidRPr="009A78FC">
        <w:rPr>
          <w:sz w:val="24"/>
          <w:szCs w:val="24"/>
        </w:rPr>
        <w:t xml:space="preserve">Le lieu de déroulement de la mission est </w:t>
      </w:r>
      <w:r w:rsidR="00AF4631">
        <w:rPr>
          <w:sz w:val="24"/>
          <w:szCs w:val="24"/>
        </w:rPr>
        <w:t>Bissau</w:t>
      </w:r>
      <w:r w:rsidRPr="009A78FC">
        <w:rPr>
          <w:sz w:val="24"/>
          <w:szCs w:val="24"/>
        </w:rPr>
        <w:t xml:space="preserve"> et ses environs</w:t>
      </w:r>
      <w:r w:rsidR="00B75FB9">
        <w:rPr>
          <w:sz w:val="24"/>
          <w:szCs w:val="24"/>
        </w:rPr>
        <w:t xml:space="preserve"> </w:t>
      </w:r>
      <w:r w:rsidR="00E063E9">
        <w:rPr>
          <w:sz w:val="24"/>
          <w:szCs w:val="24"/>
        </w:rPr>
        <w:t xml:space="preserve">en plus du </w:t>
      </w:r>
      <w:r w:rsidR="00B75FB9">
        <w:rPr>
          <w:sz w:val="24"/>
          <w:szCs w:val="24"/>
        </w:rPr>
        <w:t xml:space="preserve">travail </w:t>
      </w:r>
      <w:r w:rsidR="00E063E9">
        <w:rPr>
          <w:sz w:val="24"/>
          <w:szCs w:val="24"/>
        </w:rPr>
        <w:t>à</w:t>
      </w:r>
      <w:r w:rsidR="00B75FB9">
        <w:rPr>
          <w:sz w:val="24"/>
          <w:szCs w:val="24"/>
        </w:rPr>
        <w:t xml:space="preserve"> distance</w:t>
      </w:r>
      <w:r w:rsidRPr="009A78FC">
        <w:rPr>
          <w:sz w:val="24"/>
          <w:szCs w:val="24"/>
        </w:rPr>
        <w:t>.</w:t>
      </w:r>
    </w:p>
    <w:p w14:paraId="10A4B575" w14:textId="75471183" w:rsidR="00171892" w:rsidRPr="009A78FC" w:rsidRDefault="00171892" w:rsidP="00BD456A">
      <w:pPr>
        <w:pStyle w:val="Paragraphedeliste"/>
        <w:numPr>
          <w:ilvl w:val="0"/>
          <w:numId w:val="17"/>
        </w:numPr>
        <w:jc w:val="both"/>
        <w:rPr>
          <w:b/>
          <w:sz w:val="24"/>
          <w:szCs w:val="24"/>
        </w:rPr>
      </w:pPr>
      <w:r w:rsidRPr="009A78FC">
        <w:rPr>
          <w:b/>
          <w:sz w:val="24"/>
          <w:szCs w:val="24"/>
        </w:rPr>
        <w:t>LANGUE UTILISEE</w:t>
      </w:r>
    </w:p>
    <w:p w14:paraId="19D20AFE" w14:textId="438523A3" w:rsidR="00171892" w:rsidRDefault="00892D90" w:rsidP="009A78FC">
      <w:pPr>
        <w:jc w:val="both"/>
        <w:rPr>
          <w:sz w:val="24"/>
          <w:szCs w:val="24"/>
        </w:rPr>
      </w:pPr>
      <w:r>
        <w:rPr>
          <w:sz w:val="24"/>
          <w:szCs w:val="24"/>
        </w:rPr>
        <w:t xml:space="preserve">La langue de travail pour cette mission est le Français et le </w:t>
      </w:r>
      <w:r w:rsidR="00330F89">
        <w:rPr>
          <w:sz w:val="24"/>
          <w:szCs w:val="24"/>
        </w:rPr>
        <w:t>Portugais</w:t>
      </w:r>
      <w:r>
        <w:rPr>
          <w:sz w:val="24"/>
          <w:szCs w:val="24"/>
        </w:rPr>
        <w:t xml:space="preserve">. </w:t>
      </w:r>
      <w:r w:rsidR="00DD3CF7">
        <w:rPr>
          <w:sz w:val="24"/>
          <w:szCs w:val="24"/>
        </w:rPr>
        <w:t xml:space="preserve">Au moins un des experts </w:t>
      </w:r>
      <w:r w:rsidR="00FD62B0">
        <w:rPr>
          <w:sz w:val="24"/>
          <w:szCs w:val="24"/>
        </w:rPr>
        <w:t xml:space="preserve">devra être lusophone. </w:t>
      </w:r>
      <w:r w:rsidR="00171892" w:rsidRPr="009A78FC">
        <w:rPr>
          <w:sz w:val="24"/>
          <w:szCs w:val="24"/>
        </w:rPr>
        <w:t>Tous les travaux prévus pour la réalisation de la présente mission doivent être réalisés en langue Française</w:t>
      </w:r>
      <w:r w:rsidR="00A8385D">
        <w:rPr>
          <w:sz w:val="24"/>
          <w:szCs w:val="24"/>
        </w:rPr>
        <w:t xml:space="preserve">. </w:t>
      </w:r>
      <w:r w:rsidR="00B47081">
        <w:rPr>
          <w:sz w:val="24"/>
          <w:szCs w:val="24"/>
        </w:rPr>
        <w:t xml:space="preserve">Tous les </w:t>
      </w:r>
      <w:r w:rsidR="00A8385D">
        <w:rPr>
          <w:sz w:val="24"/>
          <w:szCs w:val="24"/>
        </w:rPr>
        <w:t>livrables finaux seront remis également en langue</w:t>
      </w:r>
      <w:r w:rsidR="00D65754">
        <w:rPr>
          <w:sz w:val="24"/>
          <w:szCs w:val="24"/>
        </w:rPr>
        <w:t xml:space="preserve"> </w:t>
      </w:r>
      <w:r w:rsidR="00831749">
        <w:rPr>
          <w:sz w:val="24"/>
          <w:szCs w:val="24"/>
        </w:rPr>
        <w:t>Portugaise</w:t>
      </w:r>
      <w:r w:rsidR="00D539E8">
        <w:rPr>
          <w:sz w:val="24"/>
          <w:szCs w:val="24"/>
        </w:rPr>
        <w:t>.</w:t>
      </w:r>
    </w:p>
    <w:p w14:paraId="4753F0BC" w14:textId="3DF8E220" w:rsidR="00831749" w:rsidRDefault="00831749" w:rsidP="009A78FC">
      <w:pPr>
        <w:jc w:val="both"/>
        <w:rPr>
          <w:sz w:val="24"/>
          <w:szCs w:val="24"/>
        </w:rPr>
      </w:pPr>
      <w:r>
        <w:rPr>
          <w:sz w:val="24"/>
          <w:szCs w:val="24"/>
        </w:rPr>
        <w:t xml:space="preserve">Les couts de traduction des livrables devra être mentionne clairement dans l’offre </w:t>
      </w:r>
      <w:r w:rsidR="00AA42F6">
        <w:rPr>
          <w:sz w:val="24"/>
          <w:szCs w:val="24"/>
        </w:rPr>
        <w:t>financière</w:t>
      </w:r>
      <w:r>
        <w:rPr>
          <w:sz w:val="24"/>
          <w:szCs w:val="24"/>
        </w:rPr>
        <w:t xml:space="preserve">. </w:t>
      </w:r>
    </w:p>
    <w:p w14:paraId="1870892D" w14:textId="77777777" w:rsidR="006073BC" w:rsidRDefault="006073BC" w:rsidP="009A78FC">
      <w:pPr>
        <w:jc w:val="both"/>
        <w:rPr>
          <w:sz w:val="24"/>
          <w:szCs w:val="24"/>
        </w:rPr>
      </w:pPr>
    </w:p>
    <w:p w14:paraId="29A0D38D" w14:textId="32CBDF2E" w:rsidR="00F42BA5" w:rsidRPr="00314884" w:rsidRDefault="00171892" w:rsidP="00BD456A">
      <w:pPr>
        <w:pStyle w:val="Paragraphedeliste"/>
        <w:numPr>
          <w:ilvl w:val="0"/>
          <w:numId w:val="17"/>
        </w:numPr>
        <w:jc w:val="both"/>
        <w:rPr>
          <w:sz w:val="24"/>
          <w:szCs w:val="24"/>
        </w:rPr>
      </w:pPr>
      <w:r w:rsidRPr="00D539E8">
        <w:rPr>
          <w:b/>
          <w:sz w:val="24"/>
          <w:szCs w:val="24"/>
        </w:rPr>
        <w:t>METHODOLOGIE D’EVALUATION DES OFFRES</w:t>
      </w:r>
    </w:p>
    <w:p w14:paraId="523DBEB4" w14:textId="77777777" w:rsidR="00314884" w:rsidRPr="00D539E8" w:rsidRDefault="00314884" w:rsidP="00314884">
      <w:pPr>
        <w:pStyle w:val="Paragraphedeliste"/>
        <w:jc w:val="both"/>
        <w:rPr>
          <w:sz w:val="24"/>
          <w:szCs w:val="24"/>
        </w:rPr>
      </w:pPr>
    </w:p>
    <w:p w14:paraId="572DD680" w14:textId="5E67D7FA" w:rsidR="00171892" w:rsidRPr="005F4500" w:rsidRDefault="00171892" w:rsidP="00BD456A">
      <w:pPr>
        <w:pStyle w:val="Paragraphedeliste"/>
        <w:numPr>
          <w:ilvl w:val="1"/>
          <w:numId w:val="17"/>
        </w:numPr>
        <w:jc w:val="both"/>
        <w:rPr>
          <w:b/>
          <w:sz w:val="24"/>
          <w:szCs w:val="24"/>
        </w:rPr>
      </w:pPr>
      <w:r w:rsidRPr="005F4500">
        <w:rPr>
          <w:b/>
          <w:sz w:val="24"/>
          <w:szCs w:val="24"/>
        </w:rPr>
        <w:t>CONSTITUTION DES OFFRES TECHNIQUES ET FINANCIERES</w:t>
      </w:r>
    </w:p>
    <w:p w14:paraId="148ADA6C" w14:textId="65D89FE2" w:rsidR="00171892" w:rsidRPr="009A78FC" w:rsidRDefault="00995920" w:rsidP="009A78FC">
      <w:pPr>
        <w:jc w:val="both"/>
        <w:rPr>
          <w:sz w:val="24"/>
          <w:szCs w:val="24"/>
        </w:rPr>
      </w:pPr>
      <w:r>
        <w:rPr>
          <w:sz w:val="24"/>
          <w:szCs w:val="24"/>
        </w:rPr>
        <w:t>Il</w:t>
      </w:r>
      <w:r w:rsidR="00EB555C">
        <w:rPr>
          <w:sz w:val="24"/>
          <w:szCs w:val="24"/>
        </w:rPr>
        <w:t xml:space="preserve"> </w:t>
      </w:r>
      <w:r w:rsidR="00171892" w:rsidRPr="009A78FC">
        <w:rPr>
          <w:sz w:val="24"/>
          <w:szCs w:val="24"/>
        </w:rPr>
        <w:t>appartient au soumissionnaire de répondre précisément au dossier d’appel d’offres et ce en présentant une offre technique et une offre financière séparées et comme suit :</w:t>
      </w:r>
    </w:p>
    <w:p w14:paraId="2DEA269F" w14:textId="027E46E6" w:rsidR="00171892" w:rsidRPr="009A78FC" w:rsidRDefault="00171892" w:rsidP="00BD456A">
      <w:pPr>
        <w:numPr>
          <w:ilvl w:val="0"/>
          <w:numId w:val="3"/>
        </w:numPr>
        <w:spacing w:line="256" w:lineRule="auto"/>
        <w:contextualSpacing/>
        <w:jc w:val="both"/>
        <w:rPr>
          <w:b/>
          <w:sz w:val="24"/>
          <w:szCs w:val="24"/>
        </w:rPr>
      </w:pPr>
      <w:r w:rsidRPr="009A78FC">
        <w:rPr>
          <w:b/>
          <w:sz w:val="24"/>
          <w:szCs w:val="24"/>
        </w:rPr>
        <w:t xml:space="preserve">L’offre technique </w:t>
      </w:r>
      <w:r w:rsidRPr="009A78FC">
        <w:rPr>
          <w:sz w:val="24"/>
          <w:szCs w:val="24"/>
        </w:rPr>
        <w:t>comprend obligatoirement les pièces suivantes</w:t>
      </w:r>
      <w:r w:rsidR="002512D7" w:rsidRPr="009A78FC">
        <w:rPr>
          <w:sz w:val="24"/>
          <w:szCs w:val="24"/>
        </w:rPr>
        <w:t> </w:t>
      </w:r>
      <w:r w:rsidR="002512D7" w:rsidRPr="009A78FC">
        <w:rPr>
          <w:b/>
          <w:sz w:val="24"/>
          <w:szCs w:val="24"/>
        </w:rPr>
        <w:t>:</w:t>
      </w:r>
    </w:p>
    <w:p w14:paraId="0AD85CE2" w14:textId="331AE982" w:rsidR="00171892" w:rsidRPr="00D539E8" w:rsidRDefault="00171892" w:rsidP="00BD456A">
      <w:pPr>
        <w:pStyle w:val="Paragraphedeliste"/>
        <w:numPr>
          <w:ilvl w:val="0"/>
          <w:numId w:val="12"/>
        </w:numPr>
        <w:ind w:left="1418"/>
        <w:jc w:val="both"/>
        <w:rPr>
          <w:sz w:val="24"/>
          <w:szCs w:val="24"/>
        </w:rPr>
      </w:pPr>
      <w:r w:rsidRPr="00D539E8">
        <w:rPr>
          <w:sz w:val="24"/>
          <w:szCs w:val="24"/>
        </w:rPr>
        <w:t>Une présentation de l’entreprise, les références pertinentes et les</w:t>
      </w:r>
      <w:r w:rsidR="00084D7A" w:rsidRPr="00D539E8">
        <w:rPr>
          <w:sz w:val="24"/>
          <w:szCs w:val="24"/>
        </w:rPr>
        <w:t xml:space="preserve"> justificatifs ;</w:t>
      </w:r>
    </w:p>
    <w:p w14:paraId="297009A4" w14:textId="2A7CDDE5" w:rsidR="00171892" w:rsidRPr="00D539E8" w:rsidRDefault="00171892" w:rsidP="00BD456A">
      <w:pPr>
        <w:pStyle w:val="Paragraphedeliste"/>
        <w:numPr>
          <w:ilvl w:val="0"/>
          <w:numId w:val="12"/>
        </w:numPr>
        <w:ind w:left="1418"/>
        <w:jc w:val="both"/>
        <w:rPr>
          <w:sz w:val="24"/>
          <w:szCs w:val="24"/>
        </w:rPr>
      </w:pPr>
      <w:r w:rsidRPr="00D539E8">
        <w:rPr>
          <w:sz w:val="24"/>
          <w:szCs w:val="24"/>
        </w:rPr>
        <w:t>Tous les documents administratifs demandés dans la fiche technique de la section 2 du dossier d’appel d’offres associé aux présents termes de référence</w:t>
      </w:r>
      <w:r w:rsidR="00084D7A" w:rsidRPr="00D539E8">
        <w:rPr>
          <w:sz w:val="24"/>
          <w:szCs w:val="24"/>
        </w:rPr>
        <w:t> </w:t>
      </w:r>
      <w:r w:rsidR="00084D7A" w:rsidRPr="00D539E8">
        <w:rPr>
          <w:rStyle w:val="Marquedecommentaire"/>
          <w:sz w:val="24"/>
          <w:szCs w:val="24"/>
        </w:rPr>
        <w:t>;</w:t>
      </w:r>
    </w:p>
    <w:p w14:paraId="4A2EB39E" w14:textId="1359607A" w:rsidR="00171892" w:rsidRPr="00D539E8" w:rsidRDefault="00171892" w:rsidP="00BD456A">
      <w:pPr>
        <w:pStyle w:val="Paragraphedeliste"/>
        <w:numPr>
          <w:ilvl w:val="0"/>
          <w:numId w:val="12"/>
        </w:numPr>
        <w:ind w:left="1418"/>
        <w:jc w:val="both"/>
        <w:rPr>
          <w:sz w:val="24"/>
          <w:szCs w:val="24"/>
        </w:rPr>
      </w:pPr>
      <w:r w:rsidRPr="00D539E8">
        <w:rPr>
          <w:sz w:val="24"/>
          <w:szCs w:val="24"/>
        </w:rPr>
        <w:t>Le CV des experts proposés faisant apparaitre de manière claire les références pertinentes ;</w:t>
      </w:r>
    </w:p>
    <w:p w14:paraId="7CAD8278" w14:textId="66D6EA55" w:rsidR="00171892" w:rsidRPr="00D539E8" w:rsidRDefault="00171892" w:rsidP="00BD456A">
      <w:pPr>
        <w:pStyle w:val="Paragraphedeliste"/>
        <w:numPr>
          <w:ilvl w:val="0"/>
          <w:numId w:val="12"/>
        </w:numPr>
        <w:ind w:left="1418"/>
        <w:jc w:val="both"/>
        <w:rPr>
          <w:sz w:val="24"/>
          <w:szCs w:val="24"/>
        </w:rPr>
      </w:pPr>
      <w:r w:rsidRPr="00D539E8">
        <w:rPr>
          <w:sz w:val="24"/>
          <w:szCs w:val="24"/>
        </w:rPr>
        <w:t>Une méthodologie décrivant l’ensemble des tâches à réaliser en mettant l’accent sur la démarche, les outils, la source des informations …,</w:t>
      </w:r>
    </w:p>
    <w:p w14:paraId="27734023" w14:textId="5DE899B1" w:rsidR="00171892" w:rsidRPr="00D539E8" w:rsidRDefault="00171892" w:rsidP="00BD456A">
      <w:pPr>
        <w:pStyle w:val="Paragraphedeliste"/>
        <w:numPr>
          <w:ilvl w:val="0"/>
          <w:numId w:val="12"/>
        </w:numPr>
        <w:ind w:left="1418"/>
        <w:jc w:val="both"/>
        <w:rPr>
          <w:sz w:val="24"/>
          <w:szCs w:val="24"/>
        </w:rPr>
      </w:pPr>
      <w:r w:rsidRPr="00D539E8">
        <w:rPr>
          <w:sz w:val="24"/>
          <w:szCs w:val="24"/>
        </w:rPr>
        <w:t>Un planning de réalisation des tâches prévues, incluant le niveau d’effort par tâche (en hommes jours) assigné aux experts proposés</w:t>
      </w:r>
    </w:p>
    <w:p w14:paraId="0B705303" w14:textId="50643AF2" w:rsidR="00171892" w:rsidRDefault="00171892" w:rsidP="00BD456A">
      <w:pPr>
        <w:numPr>
          <w:ilvl w:val="0"/>
          <w:numId w:val="3"/>
        </w:numPr>
        <w:spacing w:line="256" w:lineRule="auto"/>
        <w:contextualSpacing/>
        <w:jc w:val="both"/>
        <w:rPr>
          <w:sz w:val="24"/>
          <w:szCs w:val="24"/>
        </w:rPr>
      </w:pPr>
      <w:r w:rsidRPr="009A78FC">
        <w:rPr>
          <w:b/>
          <w:sz w:val="24"/>
          <w:szCs w:val="24"/>
        </w:rPr>
        <w:t xml:space="preserve">L’offre financière </w:t>
      </w:r>
      <w:r w:rsidRPr="009A78FC">
        <w:rPr>
          <w:sz w:val="24"/>
          <w:szCs w:val="24"/>
        </w:rPr>
        <w:t xml:space="preserve">doit intégrer et faire apparaitre les coûts unitaires et totaux d’hommes jours des experts, les frais forfaitaires relatifs au transport aérien et de séjour à </w:t>
      </w:r>
      <w:r w:rsidR="00737A89">
        <w:rPr>
          <w:sz w:val="24"/>
          <w:szCs w:val="24"/>
        </w:rPr>
        <w:t>Bissau</w:t>
      </w:r>
      <w:r w:rsidR="00737A89" w:rsidRPr="009A78FC">
        <w:rPr>
          <w:sz w:val="24"/>
          <w:szCs w:val="24"/>
        </w:rPr>
        <w:t xml:space="preserve"> </w:t>
      </w:r>
      <w:r w:rsidRPr="009A78FC">
        <w:rPr>
          <w:sz w:val="24"/>
          <w:szCs w:val="24"/>
        </w:rPr>
        <w:t xml:space="preserve">pour les experts </w:t>
      </w:r>
      <w:r w:rsidR="00D539E8" w:rsidRPr="009A78FC">
        <w:rPr>
          <w:sz w:val="24"/>
          <w:szCs w:val="24"/>
        </w:rPr>
        <w:t>non-résidents</w:t>
      </w:r>
      <w:r w:rsidRPr="009A78FC">
        <w:rPr>
          <w:sz w:val="24"/>
          <w:szCs w:val="24"/>
        </w:rPr>
        <w:t xml:space="preserve"> en </w:t>
      </w:r>
      <w:r w:rsidR="00737A89">
        <w:rPr>
          <w:sz w:val="24"/>
          <w:szCs w:val="24"/>
        </w:rPr>
        <w:t>Guinée Bissau</w:t>
      </w:r>
      <w:r w:rsidR="00737A89" w:rsidRPr="009A78FC">
        <w:rPr>
          <w:sz w:val="24"/>
          <w:szCs w:val="24"/>
        </w:rPr>
        <w:t xml:space="preserve"> </w:t>
      </w:r>
      <w:r w:rsidRPr="009A78FC">
        <w:rPr>
          <w:sz w:val="24"/>
          <w:szCs w:val="24"/>
        </w:rPr>
        <w:t xml:space="preserve">et les autres frais. Par conséquent le PNUD ne prendra pas en charge le frais de transport aérien et de séjour à </w:t>
      </w:r>
      <w:r w:rsidR="00430020">
        <w:rPr>
          <w:sz w:val="24"/>
          <w:szCs w:val="24"/>
        </w:rPr>
        <w:t>Bissau</w:t>
      </w:r>
      <w:r w:rsidR="00430020" w:rsidRPr="009A78FC">
        <w:rPr>
          <w:sz w:val="24"/>
          <w:szCs w:val="24"/>
        </w:rPr>
        <w:t xml:space="preserve"> </w:t>
      </w:r>
      <w:r w:rsidRPr="009A78FC">
        <w:rPr>
          <w:sz w:val="24"/>
          <w:szCs w:val="24"/>
        </w:rPr>
        <w:t xml:space="preserve">des experts </w:t>
      </w:r>
      <w:r w:rsidR="00D539E8" w:rsidRPr="009A78FC">
        <w:rPr>
          <w:sz w:val="24"/>
          <w:szCs w:val="24"/>
        </w:rPr>
        <w:t>non-résidents</w:t>
      </w:r>
      <w:r w:rsidRPr="009A78FC">
        <w:rPr>
          <w:sz w:val="24"/>
          <w:szCs w:val="24"/>
        </w:rPr>
        <w:t xml:space="preserve"> du soumissionnaire sélectionné, étant donné que ces frais ont été intégrés au préalable dans son offre financière.</w:t>
      </w:r>
    </w:p>
    <w:p w14:paraId="24E4896B" w14:textId="77777777" w:rsidR="00995920" w:rsidRPr="009A78FC" w:rsidRDefault="00995920" w:rsidP="00364108">
      <w:pPr>
        <w:spacing w:line="256" w:lineRule="auto"/>
        <w:ind w:left="767"/>
        <w:contextualSpacing/>
        <w:jc w:val="both"/>
        <w:rPr>
          <w:sz w:val="24"/>
          <w:szCs w:val="24"/>
        </w:rPr>
      </w:pPr>
    </w:p>
    <w:p w14:paraId="6F2D5AD3" w14:textId="3BB3D1DB" w:rsidR="00171892" w:rsidRDefault="00171892" w:rsidP="009A78FC">
      <w:pPr>
        <w:ind w:left="767"/>
        <w:contextualSpacing/>
        <w:jc w:val="both"/>
        <w:rPr>
          <w:sz w:val="24"/>
          <w:szCs w:val="24"/>
        </w:rPr>
      </w:pPr>
      <w:r w:rsidRPr="009A78FC">
        <w:rPr>
          <w:sz w:val="24"/>
          <w:szCs w:val="24"/>
        </w:rPr>
        <w:t>Aussi, il importe de noter que les frais de logistique concernant l’organisation de toute session de renforcement des capacités dans le cadre de la présente mission seront pris en charge par le PNUD et ne doivent pas, par conséquent figurer dans l’offre financière du soumissionnaire.</w:t>
      </w:r>
    </w:p>
    <w:p w14:paraId="3A024E75" w14:textId="7BF2D864" w:rsidR="00171892" w:rsidRPr="009A78FC" w:rsidRDefault="00171892" w:rsidP="00BD456A">
      <w:pPr>
        <w:pStyle w:val="Paragraphedeliste"/>
        <w:numPr>
          <w:ilvl w:val="1"/>
          <w:numId w:val="17"/>
        </w:numPr>
        <w:jc w:val="both"/>
        <w:rPr>
          <w:b/>
          <w:sz w:val="24"/>
          <w:szCs w:val="24"/>
        </w:rPr>
      </w:pPr>
      <w:r w:rsidRPr="009A78FC">
        <w:rPr>
          <w:b/>
          <w:sz w:val="24"/>
          <w:szCs w:val="24"/>
        </w:rPr>
        <w:t>Evaluation des offres</w:t>
      </w:r>
    </w:p>
    <w:p w14:paraId="0588B773" w14:textId="00B1D771" w:rsidR="00171892" w:rsidRPr="00002759" w:rsidRDefault="00171892" w:rsidP="00BD456A">
      <w:pPr>
        <w:pStyle w:val="Paragraphedeliste"/>
        <w:numPr>
          <w:ilvl w:val="0"/>
          <w:numId w:val="13"/>
        </w:numPr>
        <w:jc w:val="both"/>
        <w:rPr>
          <w:sz w:val="24"/>
          <w:szCs w:val="24"/>
        </w:rPr>
      </w:pPr>
      <w:r w:rsidRPr="00002759">
        <w:rPr>
          <w:sz w:val="24"/>
          <w:szCs w:val="24"/>
        </w:rPr>
        <w:t>La commission d’évaluation procèdera à l’élimination des offres non conformes à l’objet ou qui ne répondent pas aux conditions du dossier d’appel d’offres associé aux présents termes de référence.</w:t>
      </w:r>
    </w:p>
    <w:p w14:paraId="68F25B31" w14:textId="0FDF32F0" w:rsidR="00171892" w:rsidRPr="00002759" w:rsidRDefault="00171892" w:rsidP="00BD456A">
      <w:pPr>
        <w:pStyle w:val="Paragraphedeliste"/>
        <w:numPr>
          <w:ilvl w:val="0"/>
          <w:numId w:val="13"/>
        </w:numPr>
        <w:jc w:val="both"/>
        <w:rPr>
          <w:sz w:val="24"/>
          <w:szCs w:val="24"/>
        </w:rPr>
      </w:pPr>
      <w:r w:rsidRPr="00002759">
        <w:rPr>
          <w:sz w:val="24"/>
          <w:szCs w:val="24"/>
        </w:rPr>
        <w:t>La commission d’évaluation procèdera à l’évaluation des offres techniques (parmi les offres recevables) en suivant la méthodologie d’évaluation technique ci-après développée.</w:t>
      </w:r>
    </w:p>
    <w:p w14:paraId="34A14B48" w14:textId="083C6444" w:rsidR="00171892" w:rsidRPr="00002759" w:rsidRDefault="00171892" w:rsidP="00BD456A">
      <w:pPr>
        <w:pStyle w:val="Paragraphedeliste"/>
        <w:numPr>
          <w:ilvl w:val="0"/>
          <w:numId w:val="13"/>
        </w:numPr>
        <w:jc w:val="both"/>
        <w:rPr>
          <w:sz w:val="24"/>
          <w:szCs w:val="24"/>
        </w:rPr>
      </w:pPr>
      <w:r w:rsidRPr="00002759">
        <w:rPr>
          <w:sz w:val="24"/>
          <w:szCs w:val="24"/>
        </w:rPr>
        <w:t>Seules les offres ayant obtenu une note technique supérieure ou égale à 700 points seront retenues pour l’évaluation financière.</w:t>
      </w:r>
    </w:p>
    <w:p w14:paraId="2AD1D2E3" w14:textId="635C7C96" w:rsidR="00171892" w:rsidRPr="00002759" w:rsidRDefault="00171892" w:rsidP="00BD456A">
      <w:pPr>
        <w:pStyle w:val="Paragraphedeliste"/>
        <w:numPr>
          <w:ilvl w:val="0"/>
          <w:numId w:val="13"/>
        </w:numPr>
        <w:jc w:val="both"/>
        <w:rPr>
          <w:sz w:val="24"/>
          <w:szCs w:val="24"/>
        </w:rPr>
      </w:pPr>
      <w:r w:rsidRPr="00002759">
        <w:rPr>
          <w:sz w:val="24"/>
          <w:szCs w:val="24"/>
        </w:rPr>
        <w:t>La commission d’évaluation procèdera à l’évaluation des offres financières (relatives aux offres techniques ayant obtenu une note technique égale ou supérieure à 700 points) en suivant la méthodologie d’évaluation financière ci-après développée.</w:t>
      </w:r>
    </w:p>
    <w:p w14:paraId="4E941E1D" w14:textId="02E638BE" w:rsidR="00171892" w:rsidRDefault="00171892" w:rsidP="00BD456A">
      <w:pPr>
        <w:pStyle w:val="Paragraphedeliste"/>
        <w:numPr>
          <w:ilvl w:val="0"/>
          <w:numId w:val="13"/>
        </w:numPr>
        <w:jc w:val="both"/>
        <w:rPr>
          <w:sz w:val="24"/>
          <w:szCs w:val="24"/>
        </w:rPr>
      </w:pPr>
      <w:r w:rsidRPr="00002759">
        <w:rPr>
          <w:sz w:val="24"/>
          <w:szCs w:val="24"/>
        </w:rPr>
        <w:t>L’évaluation fera l’objet d’une sélection au mieux disant tenant compte d’une pondération de 70% de la note technique et de 30% de la note financière.</w:t>
      </w:r>
    </w:p>
    <w:p w14:paraId="551B70CB" w14:textId="77777777" w:rsidR="00463E45" w:rsidRPr="00002759" w:rsidRDefault="00463E45" w:rsidP="007E0A9A">
      <w:pPr>
        <w:pStyle w:val="Paragraphedeliste"/>
        <w:jc w:val="both"/>
        <w:rPr>
          <w:sz w:val="24"/>
          <w:szCs w:val="24"/>
        </w:rPr>
      </w:pPr>
    </w:p>
    <w:p w14:paraId="23541B99" w14:textId="3777309F" w:rsidR="00171892" w:rsidRPr="006966F7" w:rsidRDefault="00171892" w:rsidP="00BD456A">
      <w:pPr>
        <w:pStyle w:val="Paragraphedeliste"/>
        <w:numPr>
          <w:ilvl w:val="2"/>
          <w:numId w:val="17"/>
        </w:numPr>
        <w:jc w:val="both"/>
        <w:rPr>
          <w:b/>
          <w:sz w:val="24"/>
          <w:szCs w:val="24"/>
        </w:rPr>
      </w:pPr>
      <w:r w:rsidRPr="006966F7">
        <w:rPr>
          <w:b/>
          <w:sz w:val="24"/>
          <w:szCs w:val="24"/>
        </w:rPr>
        <w:t>Evaluation des offres techniques</w:t>
      </w:r>
    </w:p>
    <w:p w14:paraId="6CB386FC" w14:textId="4D51E3FF" w:rsidR="00171892" w:rsidRPr="009A78FC" w:rsidRDefault="00171892" w:rsidP="009A78FC">
      <w:pPr>
        <w:jc w:val="both"/>
        <w:rPr>
          <w:sz w:val="24"/>
          <w:szCs w:val="24"/>
        </w:rPr>
      </w:pPr>
      <w:r w:rsidRPr="006966F7">
        <w:rPr>
          <w:sz w:val="24"/>
          <w:szCs w:val="24"/>
        </w:rPr>
        <w:t>Les offres techniques seront évaluées sur la base de leur conformité aux présents termes de référence à l’aide des critères d’évaluation et du barème de notation suivant :</w:t>
      </w:r>
      <w:r w:rsidR="00422E79" w:rsidRPr="006966F7">
        <w:rPr>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2126"/>
      </w:tblGrid>
      <w:tr w:rsidR="00171892" w:rsidRPr="009A78FC" w14:paraId="6E8A42DB" w14:textId="77777777" w:rsidTr="007E0A9A">
        <w:tc>
          <w:tcPr>
            <w:tcW w:w="4531" w:type="dxa"/>
            <w:tcBorders>
              <w:top w:val="single" w:sz="4" w:space="0" w:color="auto"/>
              <w:left w:val="single" w:sz="4" w:space="0" w:color="auto"/>
              <w:bottom w:val="single" w:sz="4" w:space="0" w:color="auto"/>
              <w:right w:val="single" w:sz="4" w:space="0" w:color="auto"/>
            </w:tcBorders>
            <w:shd w:val="clear" w:color="auto" w:fill="5B9BD5"/>
            <w:hideMark/>
          </w:tcPr>
          <w:p w14:paraId="3E4E598C" w14:textId="77777777" w:rsidR="00171892" w:rsidRPr="009C5FDC" w:rsidRDefault="00171892" w:rsidP="009A78FC">
            <w:pPr>
              <w:jc w:val="both"/>
              <w:rPr>
                <w:rFonts w:eastAsia="Calibri"/>
                <w:b/>
              </w:rPr>
            </w:pPr>
            <w:r w:rsidRPr="009C5FDC">
              <w:rPr>
                <w:rFonts w:eastAsia="Calibri"/>
                <w:b/>
              </w:rPr>
              <w:t>Résumé des formulaires d’évaluation de la soumission technique</w:t>
            </w:r>
          </w:p>
        </w:tc>
        <w:tc>
          <w:tcPr>
            <w:tcW w:w="2694" w:type="dxa"/>
            <w:tcBorders>
              <w:top w:val="single" w:sz="4" w:space="0" w:color="auto"/>
              <w:left w:val="single" w:sz="4" w:space="0" w:color="auto"/>
              <w:bottom w:val="single" w:sz="4" w:space="0" w:color="auto"/>
              <w:right w:val="single" w:sz="4" w:space="0" w:color="auto"/>
            </w:tcBorders>
            <w:shd w:val="clear" w:color="auto" w:fill="5B9BD5"/>
            <w:hideMark/>
          </w:tcPr>
          <w:p w14:paraId="5ECE2E31" w14:textId="77777777" w:rsidR="00171892" w:rsidRPr="009C5FDC" w:rsidRDefault="00171892" w:rsidP="009A78FC">
            <w:pPr>
              <w:jc w:val="both"/>
              <w:rPr>
                <w:rFonts w:eastAsia="Calibri"/>
                <w:b/>
              </w:rPr>
            </w:pPr>
            <w:r w:rsidRPr="009C5FDC">
              <w:rPr>
                <w:rFonts w:eastAsia="Calibri"/>
                <w:b/>
              </w:rPr>
              <w:t>Coefficient de pondération de la note</w:t>
            </w:r>
          </w:p>
        </w:tc>
        <w:tc>
          <w:tcPr>
            <w:tcW w:w="2126" w:type="dxa"/>
            <w:tcBorders>
              <w:top w:val="single" w:sz="4" w:space="0" w:color="auto"/>
              <w:left w:val="single" w:sz="4" w:space="0" w:color="auto"/>
              <w:bottom w:val="single" w:sz="4" w:space="0" w:color="auto"/>
              <w:right w:val="single" w:sz="4" w:space="0" w:color="auto"/>
            </w:tcBorders>
            <w:shd w:val="clear" w:color="auto" w:fill="5B9BD5"/>
            <w:hideMark/>
          </w:tcPr>
          <w:p w14:paraId="26CF01F1" w14:textId="77777777" w:rsidR="00171892" w:rsidRPr="009C5FDC" w:rsidRDefault="00171892" w:rsidP="009A78FC">
            <w:pPr>
              <w:jc w:val="both"/>
              <w:rPr>
                <w:rFonts w:eastAsia="Calibri"/>
                <w:b/>
              </w:rPr>
            </w:pPr>
            <w:r w:rsidRPr="009C5FDC">
              <w:rPr>
                <w:rFonts w:eastAsia="Calibri"/>
                <w:b/>
              </w:rPr>
              <w:t>Points maximum</w:t>
            </w:r>
          </w:p>
        </w:tc>
      </w:tr>
      <w:tr w:rsidR="00171892" w:rsidRPr="009A78FC" w14:paraId="16B293FF" w14:textId="77777777" w:rsidTr="007E0A9A">
        <w:tc>
          <w:tcPr>
            <w:tcW w:w="4531" w:type="dxa"/>
            <w:tcBorders>
              <w:top w:val="single" w:sz="4" w:space="0" w:color="auto"/>
              <w:left w:val="single" w:sz="4" w:space="0" w:color="auto"/>
              <w:bottom w:val="single" w:sz="4" w:space="0" w:color="auto"/>
              <w:right w:val="single" w:sz="4" w:space="0" w:color="auto"/>
            </w:tcBorders>
            <w:hideMark/>
          </w:tcPr>
          <w:p w14:paraId="4933B043" w14:textId="77777777" w:rsidR="00171892" w:rsidRPr="009C5FDC" w:rsidRDefault="00171892" w:rsidP="009A78FC">
            <w:pPr>
              <w:jc w:val="both"/>
              <w:rPr>
                <w:rFonts w:eastAsia="Calibri"/>
              </w:rPr>
            </w:pPr>
            <w:r w:rsidRPr="009C5FDC">
              <w:rPr>
                <w:rFonts w:eastAsia="Calibri"/>
              </w:rPr>
              <w:t>Expertise de l’entreprise/bureau ou groupement de bureaux d’études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FDD8F9" w14:textId="66AD1F53" w:rsidR="00171892" w:rsidRPr="009C5FDC" w:rsidRDefault="002512D7" w:rsidP="009A78FC">
            <w:pPr>
              <w:jc w:val="both"/>
              <w:rPr>
                <w:rFonts w:eastAsia="Calibri"/>
              </w:rPr>
            </w:pPr>
            <w:r w:rsidRPr="009C5FDC">
              <w:rPr>
                <w:rFonts w:eastAsia="Calibri"/>
              </w:rPr>
              <w:t>2</w:t>
            </w:r>
            <w:r w:rsidR="00171892" w:rsidRPr="009C5FDC">
              <w:rPr>
                <w:rFonts w:eastAsia="Calibri"/>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79B21B" w14:textId="47868A37" w:rsidR="00171892" w:rsidRPr="009C5FDC" w:rsidRDefault="002512D7" w:rsidP="009A78FC">
            <w:pPr>
              <w:jc w:val="both"/>
              <w:rPr>
                <w:rFonts w:eastAsia="Calibri"/>
              </w:rPr>
            </w:pPr>
            <w:r w:rsidRPr="009C5FDC">
              <w:rPr>
                <w:rFonts w:eastAsia="Calibri"/>
              </w:rPr>
              <w:t>2</w:t>
            </w:r>
            <w:r w:rsidR="00171892" w:rsidRPr="009C5FDC">
              <w:rPr>
                <w:rFonts w:eastAsia="Calibri"/>
              </w:rPr>
              <w:t>00</w:t>
            </w:r>
          </w:p>
        </w:tc>
      </w:tr>
      <w:tr w:rsidR="00171892" w:rsidRPr="009A78FC" w14:paraId="58182A9F" w14:textId="77777777" w:rsidTr="007E0A9A">
        <w:tc>
          <w:tcPr>
            <w:tcW w:w="4531" w:type="dxa"/>
            <w:tcBorders>
              <w:top w:val="single" w:sz="4" w:space="0" w:color="auto"/>
              <w:left w:val="single" w:sz="4" w:space="0" w:color="auto"/>
              <w:bottom w:val="single" w:sz="4" w:space="0" w:color="auto"/>
              <w:right w:val="single" w:sz="4" w:space="0" w:color="auto"/>
            </w:tcBorders>
            <w:hideMark/>
          </w:tcPr>
          <w:p w14:paraId="5BE45D79" w14:textId="77777777" w:rsidR="00171892" w:rsidRPr="009C5FDC" w:rsidRDefault="00171892" w:rsidP="009A78FC">
            <w:pPr>
              <w:jc w:val="both"/>
              <w:rPr>
                <w:rFonts w:eastAsia="Calibri"/>
              </w:rPr>
            </w:pPr>
            <w:r w:rsidRPr="009C5FDC">
              <w:rPr>
                <w:rFonts w:eastAsia="Calibri"/>
              </w:rPr>
              <w:t>Méthodologie de travail, planning et chronogramme détaillé par expert et par tâche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2E2E1DE" w14:textId="77777777" w:rsidR="00171892" w:rsidRPr="009C5FDC" w:rsidRDefault="00171892" w:rsidP="009A78FC">
            <w:pPr>
              <w:jc w:val="both"/>
              <w:rPr>
                <w:rFonts w:eastAsia="Calibri"/>
              </w:rPr>
            </w:pPr>
            <w:r w:rsidRPr="009C5FDC">
              <w:rPr>
                <w:rFonts w:eastAsia="Calibri"/>
              </w:rPr>
              <w:t>40%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FFE59B" w14:textId="77777777" w:rsidR="00171892" w:rsidRPr="009C5FDC" w:rsidRDefault="00171892" w:rsidP="009A78FC">
            <w:pPr>
              <w:jc w:val="both"/>
              <w:rPr>
                <w:rFonts w:eastAsia="Calibri"/>
              </w:rPr>
            </w:pPr>
            <w:r w:rsidRPr="009C5FDC">
              <w:rPr>
                <w:rFonts w:eastAsia="Calibri"/>
              </w:rPr>
              <w:t>400</w:t>
            </w:r>
          </w:p>
        </w:tc>
      </w:tr>
      <w:tr w:rsidR="00171892" w:rsidRPr="009A78FC" w14:paraId="6D4D3C18" w14:textId="77777777" w:rsidTr="007E0A9A">
        <w:tc>
          <w:tcPr>
            <w:tcW w:w="4531" w:type="dxa"/>
            <w:tcBorders>
              <w:top w:val="single" w:sz="4" w:space="0" w:color="auto"/>
              <w:left w:val="single" w:sz="4" w:space="0" w:color="auto"/>
              <w:bottom w:val="single" w:sz="4" w:space="0" w:color="auto"/>
              <w:right w:val="single" w:sz="4" w:space="0" w:color="auto"/>
            </w:tcBorders>
            <w:hideMark/>
          </w:tcPr>
          <w:p w14:paraId="32280242" w14:textId="77777777" w:rsidR="00171892" w:rsidRPr="009C5FDC" w:rsidRDefault="00171892" w:rsidP="009A78FC">
            <w:pPr>
              <w:jc w:val="both"/>
              <w:rPr>
                <w:rFonts w:eastAsia="Calibri"/>
              </w:rPr>
            </w:pPr>
            <w:r w:rsidRPr="009C5FDC">
              <w:rPr>
                <w:rFonts w:eastAsia="Calibri"/>
              </w:rPr>
              <w:t>Experts proposés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3EB786A" w14:textId="05E0BDAC" w:rsidR="00171892" w:rsidRPr="009C5FDC" w:rsidRDefault="002512D7" w:rsidP="009A78FC">
            <w:pPr>
              <w:jc w:val="both"/>
              <w:rPr>
                <w:rFonts w:eastAsia="Calibri"/>
              </w:rPr>
            </w:pPr>
            <w:r w:rsidRPr="009C5FDC">
              <w:rPr>
                <w:rFonts w:eastAsia="Calibri"/>
              </w:rPr>
              <w:t>4</w:t>
            </w:r>
            <w:r w:rsidR="00171892" w:rsidRPr="009C5FDC">
              <w:rPr>
                <w:rFonts w:eastAsia="Calibri"/>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775D90" w14:textId="39A08EBB" w:rsidR="00171892" w:rsidRPr="009C5FDC" w:rsidRDefault="002512D7" w:rsidP="009A78FC">
            <w:pPr>
              <w:jc w:val="both"/>
              <w:rPr>
                <w:rFonts w:eastAsia="Calibri"/>
              </w:rPr>
            </w:pPr>
            <w:r w:rsidRPr="009C5FDC">
              <w:rPr>
                <w:rFonts w:eastAsia="Calibri"/>
              </w:rPr>
              <w:t>4</w:t>
            </w:r>
            <w:r w:rsidR="00171892" w:rsidRPr="009C5FDC">
              <w:rPr>
                <w:rFonts w:eastAsia="Calibri"/>
              </w:rPr>
              <w:t>00</w:t>
            </w:r>
          </w:p>
        </w:tc>
      </w:tr>
      <w:tr w:rsidR="00171892" w:rsidRPr="009A78FC" w14:paraId="43668CE5" w14:textId="77777777" w:rsidTr="007E0A9A">
        <w:tc>
          <w:tcPr>
            <w:tcW w:w="4531" w:type="dxa"/>
            <w:tcBorders>
              <w:top w:val="single" w:sz="4" w:space="0" w:color="auto"/>
              <w:left w:val="single" w:sz="4" w:space="0" w:color="auto"/>
              <w:bottom w:val="single" w:sz="4" w:space="0" w:color="auto"/>
              <w:right w:val="single" w:sz="4" w:space="0" w:color="auto"/>
            </w:tcBorders>
            <w:shd w:val="clear" w:color="auto" w:fill="5B9BD5"/>
            <w:hideMark/>
          </w:tcPr>
          <w:p w14:paraId="47075C4E" w14:textId="77777777" w:rsidR="00171892" w:rsidRPr="009C5FDC" w:rsidRDefault="00171892" w:rsidP="009A78FC">
            <w:pPr>
              <w:jc w:val="both"/>
              <w:rPr>
                <w:rFonts w:eastAsia="Calibri"/>
              </w:rPr>
            </w:pPr>
            <w:r w:rsidRPr="009C5FDC">
              <w:rPr>
                <w:rFonts w:eastAsia="Calibri"/>
              </w:rPr>
              <w:t>Total</w:t>
            </w:r>
          </w:p>
        </w:tc>
        <w:tc>
          <w:tcPr>
            <w:tcW w:w="2694" w:type="dxa"/>
            <w:tcBorders>
              <w:top w:val="single" w:sz="4" w:space="0" w:color="auto"/>
              <w:left w:val="single" w:sz="4" w:space="0" w:color="auto"/>
              <w:bottom w:val="single" w:sz="4" w:space="0" w:color="auto"/>
              <w:right w:val="single" w:sz="4" w:space="0" w:color="auto"/>
            </w:tcBorders>
            <w:shd w:val="clear" w:color="auto" w:fill="5B9BD5"/>
            <w:hideMark/>
          </w:tcPr>
          <w:p w14:paraId="006CF248" w14:textId="77777777" w:rsidR="00171892" w:rsidRPr="009C5FDC" w:rsidRDefault="00171892" w:rsidP="009A78FC">
            <w:pPr>
              <w:jc w:val="both"/>
              <w:rPr>
                <w:rFonts w:eastAsia="Calibri"/>
              </w:rPr>
            </w:pPr>
            <w:r w:rsidRPr="009C5FDC">
              <w:rPr>
                <w:rFonts w:eastAsia="Calibri"/>
              </w:rPr>
              <w:t>100%</w:t>
            </w:r>
          </w:p>
        </w:tc>
        <w:tc>
          <w:tcPr>
            <w:tcW w:w="2126" w:type="dxa"/>
            <w:tcBorders>
              <w:top w:val="single" w:sz="4" w:space="0" w:color="auto"/>
              <w:left w:val="single" w:sz="4" w:space="0" w:color="auto"/>
              <w:bottom w:val="single" w:sz="4" w:space="0" w:color="auto"/>
              <w:right w:val="single" w:sz="4" w:space="0" w:color="auto"/>
            </w:tcBorders>
            <w:shd w:val="clear" w:color="auto" w:fill="5B9BD5"/>
            <w:hideMark/>
          </w:tcPr>
          <w:p w14:paraId="6E9774BE" w14:textId="77777777" w:rsidR="00171892" w:rsidRPr="009C5FDC" w:rsidRDefault="00171892" w:rsidP="009A78FC">
            <w:pPr>
              <w:jc w:val="both"/>
              <w:rPr>
                <w:rFonts w:eastAsia="Calibri"/>
              </w:rPr>
            </w:pPr>
            <w:r w:rsidRPr="009C5FDC">
              <w:rPr>
                <w:rFonts w:eastAsia="Calibri"/>
              </w:rPr>
              <w:t>1000</w:t>
            </w:r>
          </w:p>
        </w:tc>
      </w:tr>
    </w:tbl>
    <w:p w14:paraId="5037F38C" w14:textId="77777777" w:rsidR="00171892" w:rsidRPr="009A78FC" w:rsidRDefault="00171892" w:rsidP="009A78FC">
      <w:pPr>
        <w:jc w:val="both"/>
        <w:rPr>
          <w:rFonts w:eastAsia="MS Mincho"/>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9"/>
      </w:tblGrid>
      <w:tr w:rsidR="00DC2B95" w:rsidRPr="009A78FC" w14:paraId="49391E33" w14:textId="77777777" w:rsidTr="006966F7">
        <w:tc>
          <w:tcPr>
            <w:tcW w:w="7792" w:type="dxa"/>
            <w:tcBorders>
              <w:top w:val="single" w:sz="4" w:space="0" w:color="auto"/>
              <w:left w:val="single" w:sz="4" w:space="0" w:color="auto"/>
              <w:bottom w:val="single" w:sz="4" w:space="0" w:color="auto"/>
              <w:right w:val="single" w:sz="4" w:space="0" w:color="auto"/>
            </w:tcBorders>
          </w:tcPr>
          <w:p w14:paraId="3EA03774" w14:textId="77777777" w:rsidR="00DC2B95" w:rsidRPr="00DC2B95" w:rsidRDefault="00DC2B95" w:rsidP="00B35622">
            <w:pPr>
              <w:jc w:val="both"/>
              <w:rPr>
                <w:rFonts w:eastAsia="Calibri"/>
              </w:rPr>
            </w:pPr>
            <w:r w:rsidRPr="00DC2B95">
              <w:rPr>
                <w:rFonts w:eastAsia="Calibri"/>
              </w:rPr>
              <w:t>Evaluation de la soumission technique</w:t>
            </w:r>
          </w:p>
          <w:p w14:paraId="237C3CFA" w14:textId="77777777" w:rsidR="00DC2B95" w:rsidRPr="00DC2B95" w:rsidRDefault="00DC2B95" w:rsidP="00B35622">
            <w:pPr>
              <w:jc w:val="both"/>
              <w:rPr>
                <w:rFonts w:eastAsia="Calibri"/>
              </w:rPr>
            </w:pPr>
            <w:r w:rsidRPr="00DC2B95">
              <w:rPr>
                <w:rFonts w:eastAsia="Calibri"/>
              </w:rPr>
              <w:t>Formulaire 1</w:t>
            </w:r>
          </w:p>
        </w:tc>
        <w:tc>
          <w:tcPr>
            <w:tcW w:w="1559" w:type="dxa"/>
            <w:tcBorders>
              <w:top w:val="single" w:sz="4" w:space="0" w:color="auto"/>
              <w:left w:val="single" w:sz="4" w:space="0" w:color="auto"/>
              <w:bottom w:val="single" w:sz="4" w:space="0" w:color="auto"/>
              <w:right w:val="single" w:sz="4" w:space="0" w:color="auto"/>
            </w:tcBorders>
            <w:vAlign w:val="center"/>
          </w:tcPr>
          <w:p w14:paraId="703C0282" w14:textId="77777777" w:rsidR="00DC2B95" w:rsidRPr="00DC2B95" w:rsidRDefault="00DC2B95" w:rsidP="00B35622">
            <w:pPr>
              <w:jc w:val="both"/>
              <w:rPr>
                <w:rFonts w:eastAsia="Calibri"/>
              </w:rPr>
            </w:pPr>
            <w:r w:rsidRPr="00DC2B95">
              <w:rPr>
                <w:rFonts w:eastAsia="Calibri"/>
              </w:rPr>
              <w:t>Points maximum</w:t>
            </w:r>
          </w:p>
        </w:tc>
      </w:tr>
      <w:tr w:rsidR="00DC2B95" w:rsidRPr="009A78FC" w14:paraId="179081C9" w14:textId="77777777" w:rsidTr="006966F7">
        <w:tc>
          <w:tcPr>
            <w:tcW w:w="7792" w:type="dxa"/>
            <w:tcBorders>
              <w:top w:val="single" w:sz="4" w:space="0" w:color="auto"/>
              <w:left w:val="single" w:sz="4" w:space="0" w:color="auto"/>
              <w:bottom w:val="single" w:sz="4" w:space="0" w:color="auto"/>
              <w:right w:val="single" w:sz="4" w:space="0" w:color="auto"/>
            </w:tcBorders>
            <w:shd w:val="clear" w:color="auto" w:fill="5B9BD5"/>
          </w:tcPr>
          <w:p w14:paraId="2F4876CD" w14:textId="77777777" w:rsidR="00DC2B95" w:rsidRPr="00DC2B95" w:rsidRDefault="00DC2B95" w:rsidP="00B35622">
            <w:pPr>
              <w:jc w:val="both"/>
              <w:rPr>
                <w:rFonts w:eastAsia="Calibri"/>
              </w:rPr>
            </w:pPr>
            <w:r w:rsidRPr="00DC2B95">
              <w:rPr>
                <w:rFonts w:eastAsia="Calibri"/>
              </w:rPr>
              <w:t>Expertise de l’entreprise (bureau d’études ou groupement de bureaux d’études)</w:t>
            </w:r>
          </w:p>
        </w:tc>
        <w:tc>
          <w:tcPr>
            <w:tcW w:w="1559" w:type="dxa"/>
            <w:tcBorders>
              <w:top w:val="single" w:sz="4" w:space="0" w:color="auto"/>
              <w:left w:val="single" w:sz="4" w:space="0" w:color="auto"/>
              <w:bottom w:val="single" w:sz="4" w:space="0" w:color="auto"/>
              <w:right w:val="single" w:sz="4" w:space="0" w:color="auto"/>
            </w:tcBorders>
            <w:shd w:val="clear" w:color="auto" w:fill="5B9BD5"/>
            <w:vAlign w:val="center"/>
          </w:tcPr>
          <w:p w14:paraId="0A025C02" w14:textId="77777777" w:rsidR="00DC2B95" w:rsidRPr="00DC2B95" w:rsidRDefault="00DC2B95" w:rsidP="00B35622">
            <w:pPr>
              <w:jc w:val="both"/>
              <w:rPr>
                <w:rFonts w:eastAsia="Calibri"/>
              </w:rPr>
            </w:pPr>
            <w:r w:rsidRPr="00DC2B95">
              <w:rPr>
                <w:rFonts w:eastAsia="Calibri"/>
              </w:rPr>
              <w:t>200</w:t>
            </w:r>
          </w:p>
        </w:tc>
      </w:tr>
      <w:tr w:rsidR="00DC2B95" w:rsidRPr="009A78FC" w14:paraId="6F36E5C0" w14:textId="77777777" w:rsidTr="006966F7">
        <w:tc>
          <w:tcPr>
            <w:tcW w:w="7792" w:type="dxa"/>
            <w:tcBorders>
              <w:top w:val="single" w:sz="4" w:space="0" w:color="auto"/>
              <w:left w:val="single" w:sz="4" w:space="0" w:color="auto"/>
              <w:bottom w:val="single" w:sz="4" w:space="0" w:color="auto"/>
              <w:right w:val="single" w:sz="4" w:space="0" w:color="auto"/>
            </w:tcBorders>
          </w:tcPr>
          <w:p w14:paraId="1DCFB352" w14:textId="61B9B13F" w:rsidR="00DC2B95" w:rsidRPr="009C5FDC" w:rsidRDefault="00DC2B95" w:rsidP="00BD456A">
            <w:pPr>
              <w:numPr>
                <w:ilvl w:val="1"/>
                <w:numId w:val="4"/>
              </w:numPr>
              <w:spacing w:after="0" w:line="240" w:lineRule="auto"/>
              <w:contextualSpacing/>
              <w:jc w:val="both"/>
              <w:rPr>
                <w:rFonts w:eastAsia="Calibri"/>
              </w:rPr>
            </w:pPr>
            <w:r w:rsidRPr="009C5FDC">
              <w:rPr>
                <w:rFonts w:eastAsia="Calibri"/>
              </w:rPr>
              <w:t>Références d</w:t>
            </w:r>
            <w:r w:rsidR="00141694">
              <w:rPr>
                <w:rFonts w:eastAsia="Calibri"/>
              </w:rPr>
              <w:t>u bureau d’</w:t>
            </w:r>
            <w:r w:rsidR="008B697A">
              <w:rPr>
                <w:rFonts w:eastAsia="Calibri"/>
              </w:rPr>
              <w:t>études</w:t>
            </w:r>
            <w:r w:rsidR="00141694">
              <w:rPr>
                <w:rFonts w:eastAsia="Calibri"/>
              </w:rPr>
              <w:t xml:space="preserve"> </w:t>
            </w:r>
            <w:r w:rsidRPr="009C5FDC">
              <w:rPr>
                <w:rFonts w:eastAsia="Calibri"/>
              </w:rPr>
              <w:t>dans l’élaboration de la politique d’atténuation des émissions de GES dans le secteur de l’énergie :</w:t>
            </w:r>
          </w:p>
          <w:p w14:paraId="441F0637" w14:textId="7773902B" w:rsidR="00DC2B95" w:rsidRPr="006966F7" w:rsidRDefault="00DC2B95" w:rsidP="00BD456A">
            <w:pPr>
              <w:pStyle w:val="Paragraphedeliste"/>
              <w:numPr>
                <w:ilvl w:val="0"/>
                <w:numId w:val="21"/>
              </w:numPr>
              <w:jc w:val="both"/>
              <w:rPr>
                <w:rFonts w:eastAsia="Calibri"/>
              </w:rPr>
            </w:pPr>
            <w:r w:rsidRPr="006966F7">
              <w:rPr>
                <w:rFonts w:eastAsia="Calibri"/>
              </w:rPr>
              <w:t>Aucune référence : 0 point</w:t>
            </w:r>
          </w:p>
          <w:p w14:paraId="753E3302" w14:textId="77777777" w:rsidR="00DC2B95" w:rsidRPr="006966F7" w:rsidRDefault="00DC2B95" w:rsidP="00BD456A">
            <w:pPr>
              <w:pStyle w:val="Paragraphedeliste"/>
              <w:numPr>
                <w:ilvl w:val="0"/>
                <w:numId w:val="21"/>
              </w:numPr>
              <w:jc w:val="both"/>
              <w:rPr>
                <w:rFonts w:eastAsia="Calibri"/>
              </w:rPr>
            </w:pPr>
            <w:r w:rsidRPr="006966F7">
              <w:rPr>
                <w:rFonts w:eastAsia="Calibri"/>
              </w:rPr>
              <w:t>Entre 1 et 5 références : 50 points</w:t>
            </w:r>
          </w:p>
          <w:p w14:paraId="6E37DB6B" w14:textId="4CFB8B93" w:rsidR="00DC2B95" w:rsidRPr="006966F7" w:rsidRDefault="00DC2B95" w:rsidP="00BD456A">
            <w:pPr>
              <w:pStyle w:val="Paragraphedeliste"/>
              <w:numPr>
                <w:ilvl w:val="0"/>
                <w:numId w:val="21"/>
              </w:numPr>
              <w:jc w:val="both"/>
              <w:rPr>
                <w:rFonts w:eastAsia="Calibri"/>
              </w:rPr>
            </w:pPr>
            <w:r w:rsidRPr="006966F7">
              <w:rPr>
                <w:rFonts w:eastAsia="Calibri"/>
              </w:rPr>
              <w:t xml:space="preserve">6 références et plus : </w:t>
            </w:r>
            <w:r w:rsidR="006D060D" w:rsidRPr="006966F7">
              <w:rPr>
                <w:rFonts w:eastAsia="Calibri"/>
              </w:rPr>
              <w:t>10</w:t>
            </w:r>
            <w:r w:rsidRPr="006966F7">
              <w:rPr>
                <w:rFonts w:eastAsia="Calibri"/>
              </w:rPr>
              <w:t>0 points</w:t>
            </w:r>
          </w:p>
        </w:tc>
        <w:tc>
          <w:tcPr>
            <w:tcW w:w="1559" w:type="dxa"/>
            <w:tcBorders>
              <w:top w:val="single" w:sz="4" w:space="0" w:color="auto"/>
              <w:left w:val="single" w:sz="4" w:space="0" w:color="auto"/>
              <w:bottom w:val="single" w:sz="4" w:space="0" w:color="auto"/>
              <w:right w:val="single" w:sz="4" w:space="0" w:color="auto"/>
            </w:tcBorders>
            <w:vAlign w:val="center"/>
          </w:tcPr>
          <w:p w14:paraId="6FE99646" w14:textId="266E3DA1" w:rsidR="00DC2B95" w:rsidRPr="009C5FDC" w:rsidRDefault="006D060D" w:rsidP="00B35622">
            <w:pPr>
              <w:jc w:val="both"/>
              <w:rPr>
                <w:rFonts w:eastAsia="Calibri"/>
              </w:rPr>
            </w:pPr>
            <w:r>
              <w:rPr>
                <w:rFonts w:eastAsia="Calibri"/>
              </w:rPr>
              <w:t>100</w:t>
            </w:r>
          </w:p>
        </w:tc>
      </w:tr>
      <w:tr w:rsidR="00DC2B95" w:rsidRPr="009A78FC" w14:paraId="732B283D" w14:textId="77777777" w:rsidTr="006966F7">
        <w:tc>
          <w:tcPr>
            <w:tcW w:w="7792" w:type="dxa"/>
            <w:tcBorders>
              <w:top w:val="single" w:sz="4" w:space="0" w:color="auto"/>
              <w:left w:val="single" w:sz="4" w:space="0" w:color="auto"/>
              <w:bottom w:val="single" w:sz="4" w:space="0" w:color="auto"/>
              <w:right w:val="single" w:sz="4" w:space="0" w:color="auto"/>
            </w:tcBorders>
          </w:tcPr>
          <w:p w14:paraId="2818ED5D" w14:textId="6977A2C2" w:rsidR="00DC2B95" w:rsidRDefault="00DC2B95" w:rsidP="00BD456A">
            <w:pPr>
              <w:numPr>
                <w:ilvl w:val="1"/>
                <w:numId w:val="4"/>
              </w:numPr>
              <w:spacing w:after="0" w:line="240" w:lineRule="auto"/>
              <w:contextualSpacing/>
              <w:jc w:val="both"/>
              <w:rPr>
                <w:rFonts w:eastAsia="Calibri"/>
              </w:rPr>
            </w:pPr>
            <w:r w:rsidRPr="009C5FDC">
              <w:rPr>
                <w:rFonts w:eastAsia="Calibri"/>
              </w:rPr>
              <w:t>Références de l’élaboration de la politique d’atténuation de l’AFAT :</w:t>
            </w:r>
          </w:p>
          <w:p w14:paraId="2DABCE1C" w14:textId="77777777" w:rsidR="00ED4515" w:rsidRPr="009C5FDC" w:rsidRDefault="00ED4515" w:rsidP="006966F7">
            <w:pPr>
              <w:spacing w:after="0" w:line="240" w:lineRule="auto"/>
              <w:contextualSpacing/>
              <w:jc w:val="both"/>
              <w:rPr>
                <w:rFonts w:eastAsia="Calibri"/>
              </w:rPr>
            </w:pPr>
          </w:p>
          <w:p w14:paraId="5F56D0F1" w14:textId="77777777" w:rsidR="00DC2B95" w:rsidRPr="009C5FDC" w:rsidRDefault="00DC2B95" w:rsidP="00BD456A">
            <w:pPr>
              <w:pStyle w:val="Paragraphedeliste"/>
              <w:numPr>
                <w:ilvl w:val="0"/>
                <w:numId w:val="21"/>
              </w:numPr>
              <w:jc w:val="both"/>
              <w:rPr>
                <w:rFonts w:eastAsia="Calibri"/>
              </w:rPr>
            </w:pPr>
            <w:r w:rsidRPr="009C5FDC">
              <w:rPr>
                <w:rFonts w:eastAsia="Calibri"/>
              </w:rPr>
              <w:t>Aucune référence : 0 point</w:t>
            </w:r>
          </w:p>
          <w:p w14:paraId="209A8452" w14:textId="77777777" w:rsidR="00DC2B95" w:rsidRPr="009C5FDC" w:rsidRDefault="00DC2B95" w:rsidP="00BD456A">
            <w:pPr>
              <w:pStyle w:val="Paragraphedeliste"/>
              <w:numPr>
                <w:ilvl w:val="0"/>
                <w:numId w:val="21"/>
              </w:numPr>
              <w:jc w:val="both"/>
              <w:rPr>
                <w:rFonts w:eastAsia="Calibri"/>
              </w:rPr>
            </w:pPr>
            <w:proofErr w:type="gramStart"/>
            <w:r w:rsidRPr="009C5FDC">
              <w:rPr>
                <w:rFonts w:eastAsia="Calibri"/>
              </w:rPr>
              <w:t>Entre  1</w:t>
            </w:r>
            <w:proofErr w:type="gramEnd"/>
            <w:r w:rsidRPr="009C5FDC">
              <w:rPr>
                <w:rFonts w:eastAsia="Calibri"/>
              </w:rPr>
              <w:t xml:space="preserve"> et 5 références </w:t>
            </w:r>
            <w:r w:rsidRPr="006966F7">
              <w:t>:</w:t>
            </w:r>
            <w:r w:rsidRPr="009C5FDC">
              <w:rPr>
                <w:rFonts w:eastAsia="Calibri"/>
              </w:rPr>
              <w:t xml:space="preserve"> 50 points</w:t>
            </w:r>
          </w:p>
          <w:p w14:paraId="62D2FE4D" w14:textId="77777777" w:rsidR="00DC2B95" w:rsidRPr="009C5FDC" w:rsidRDefault="00DC2B95" w:rsidP="00BD456A">
            <w:pPr>
              <w:pStyle w:val="Paragraphedeliste"/>
              <w:numPr>
                <w:ilvl w:val="0"/>
                <w:numId w:val="21"/>
              </w:numPr>
              <w:jc w:val="both"/>
              <w:rPr>
                <w:rFonts w:eastAsia="Calibri"/>
              </w:rPr>
            </w:pPr>
            <w:r w:rsidRPr="009C5FDC">
              <w:rPr>
                <w:rFonts w:eastAsia="Calibri"/>
              </w:rPr>
              <w:t>6 références et plus : 100 points</w:t>
            </w:r>
          </w:p>
        </w:tc>
        <w:tc>
          <w:tcPr>
            <w:tcW w:w="1559" w:type="dxa"/>
            <w:tcBorders>
              <w:top w:val="single" w:sz="4" w:space="0" w:color="auto"/>
              <w:left w:val="single" w:sz="4" w:space="0" w:color="auto"/>
              <w:bottom w:val="single" w:sz="4" w:space="0" w:color="auto"/>
              <w:right w:val="single" w:sz="4" w:space="0" w:color="auto"/>
            </w:tcBorders>
            <w:vAlign w:val="center"/>
          </w:tcPr>
          <w:p w14:paraId="5372B8DF" w14:textId="3F299D37" w:rsidR="00DC2B95" w:rsidRPr="009C5FDC" w:rsidRDefault="00C80BA2" w:rsidP="00B35622">
            <w:pPr>
              <w:jc w:val="both"/>
              <w:rPr>
                <w:rFonts w:eastAsia="Calibri"/>
              </w:rPr>
            </w:pPr>
            <w:r>
              <w:rPr>
                <w:rFonts w:eastAsia="Calibri"/>
              </w:rPr>
              <w:t>5</w:t>
            </w:r>
            <w:r w:rsidR="00DC2B95" w:rsidRPr="009C5FDC">
              <w:rPr>
                <w:rFonts w:eastAsia="Calibri"/>
              </w:rPr>
              <w:t>0</w:t>
            </w:r>
          </w:p>
        </w:tc>
      </w:tr>
      <w:tr w:rsidR="00B022AD" w:rsidRPr="009A78FC" w14:paraId="7572A442" w14:textId="77777777" w:rsidTr="006966F7">
        <w:tc>
          <w:tcPr>
            <w:tcW w:w="7792" w:type="dxa"/>
            <w:tcBorders>
              <w:top w:val="single" w:sz="4" w:space="0" w:color="auto"/>
              <w:left w:val="single" w:sz="4" w:space="0" w:color="auto"/>
              <w:bottom w:val="single" w:sz="4" w:space="0" w:color="auto"/>
              <w:right w:val="single" w:sz="4" w:space="0" w:color="auto"/>
            </w:tcBorders>
          </w:tcPr>
          <w:p w14:paraId="6CEA0022" w14:textId="4BC32CD0" w:rsidR="00B022AD" w:rsidRDefault="00C80BA2" w:rsidP="00BD456A">
            <w:pPr>
              <w:numPr>
                <w:ilvl w:val="1"/>
                <w:numId w:val="4"/>
              </w:numPr>
              <w:spacing w:after="0" w:line="240" w:lineRule="auto"/>
              <w:contextualSpacing/>
              <w:jc w:val="both"/>
              <w:rPr>
                <w:rFonts w:eastAsia="Calibri"/>
              </w:rPr>
            </w:pPr>
            <w:r>
              <w:rPr>
                <w:rFonts w:eastAsia="Calibri"/>
              </w:rPr>
              <w:t xml:space="preserve">Reference dans l’élaboration des inventaires </w:t>
            </w:r>
            <w:r w:rsidR="007E72BB">
              <w:rPr>
                <w:rFonts w:eastAsia="Calibri"/>
              </w:rPr>
              <w:t>GES</w:t>
            </w:r>
          </w:p>
          <w:p w14:paraId="63FF285A" w14:textId="77777777" w:rsidR="002E1902" w:rsidRDefault="002E1902" w:rsidP="002E1902">
            <w:pPr>
              <w:spacing w:after="0" w:line="240" w:lineRule="auto"/>
              <w:contextualSpacing/>
              <w:jc w:val="both"/>
              <w:rPr>
                <w:rFonts w:eastAsia="Calibri"/>
              </w:rPr>
            </w:pPr>
          </w:p>
          <w:p w14:paraId="4EBBE9B3" w14:textId="77777777" w:rsidR="002E1902" w:rsidRPr="009C5FDC" w:rsidRDefault="002E1902" w:rsidP="00BD456A">
            <w:pPr>
              <w:pStyle w:val="Paragraphedeliste"/>
              <w:numPr>
                <w:ilvl w:val="0"/>
                <w:numId w:val="21"/>
              </w:numPr>
              <w:jc w:val="both"/>
              <w:rPr>
                <w:rFonts w:eastAsia="Calibri"/>
              </w:rPr>
            </w:pPr>
            <w:r w:rsidRPr="009C5FDC">
              <w:rPr>
                <w:rFonts w:eastAsia="Calibri"/>
              </w:rPr>
              <w:t>Aucune référence : 0 point</w:t>
            </w:r>
          </w:p>
          <w:p w14:paraId="1A014C2D" w14:textId="505024EC" w:rsidR="002E1902" w:rsidRPr="009C5FDC" w:rsidRDefault="002E1902" w:rsidP="00BD456A">
            <w:pPr>
              <w:pStyle w:val="Paragraphedeliste"/>
              <w:numPr>
                <w:ilvl w:val="0"/>
                <w:numId w:val="21"/>
              </w:numPr>
              <w:jc w:val="both"/>
              <w:rPr>
                <w:rFonts w:eastAsia="Calibri"/>
              </w:rPr>
            </w:pPr>
            <w:r w:rsidRPr="009C5FDC">
              <w:rPr>
                <w:rFonts w:eastAsia="Calibri"/>
              </w:rPr>
              <w:t xml:space="preserve">Entre 1 et </w:t>
            </w:r>
            <w:r w:rsidR="00F33EB2">
              <w:rPr>
                <w:rFonts w:eastAsia="Calibri"/>
              </w:rPr>
              <w:t>4</w:t>
            </w:r>
            <w:r w:rsidRPr="009C5FDC">
              <w:rPr>
                <w:rFonts w:eastAsia="Calibri"/>
              </w:rPr>
              <w:t xml:space="preserve"> références </w:t>
            </w:r>
            <w:r w:rsidRPr="006966F7">
              <w:t>:</w:t>
            </w:r>
            <w:r w:rsidRPr="009C5FDC">
              <w:rPr>
                <w:rFonts w:eastAsia="Calibri"/>
              </w:rPr>
              <w:t xml:space="preserve"> </w:t>
            </w:r>
            <w:r w:rsidR="00C44DB6">
              <w:rPr>
                <w:rFonts w:eastAsia="Calibri"/>
              </w:rPr>
              <w:t>2</w:t>
            </w:r>
            <w:r w:rsidRPr="009C5FDC">
              <w:rPr>
                <w:rFonts w:eastAsia="Calibri"/>
              </w:rPr>
              <w:t>0 points</w:t>
            </w:r>
          </w:p>
          <w:p w14:paraId="523A6146" w14:textId="7D398296" w:rsidR="002E1902" w:rsidRPr="009C5FDC" w:rsidRDefault="00C44DB6" w:rsidP="00BD456A">
            <w:pPr>
              <w:pStyle w:val="Paragraphedeliste"/>
              <w:numPr>
                <w:ilvl w:val="0"/>
                <w:numId w:val="21"/>
              </w:numPr>
              <w:jc w:val="both"/>
              <w:rPr>
                <w:rFonts w:eastAsia="Calibri"/>
              </w:rPr>
            </w:pPr>
            <w:r>
              <w:rPr>
                <w:rFonts w:eastAsia="Calibri"/>
              </w:rPr>
              <w:t>5</w:t>
            </w:r>
            <w:r w:rsidR="002E1902" w:rsidRPr="009C5FDC">
              <w:rPr>
                <w:rFonts w:eastAsia="Calibri"/>
              </w:rPr>
              <w:t xml:space="preserve"> références et plus : </w:t>
            </w:r>
            <w:r>
              <w:rPr>
                <w:rFonts w:eastAsia="Calibri"/>
              </w:rPr>
              <w:t>50</w:t>
            </w:r>
            <w:r w:rsidR="002E1902" w:rsidRPr="009C5FDC">
              <w:rPr>
                <w:rFonts w:eastAsia="Calibri"/>
              </w:rPr>
              <w:t xml:space="preserve"> points</w:t>
            </w:r>
          </w:p>
        </w:tc>
        <w:tc>
          <w:tcPr>
            <w:tcW w:w="1559" w:type="dxa"/>
            <w:tcBorders>
              <w:top w:val="single" w:sz="4" w:space="0" w:color="auto"/>
              <w:left w:val="single" w:sz="4" w:space="0" w:color="auto"/>
              <w:bottom w:val="single" w:sz="4" w:space="0" w:color="auto"/>
              <w:right w:val="single" w:sz="4" w:space="0" w:color="auto"/>
            </w:tcBorders>
            <w:vAlign w:val="center"/>
          </w:tcPr>
          <w:p w14:paraId="24B2ABB9" w14:textId="0730E5D4" w:rsidR="00B022AD" w:rsidRPr="009C5FDC" w:rsidRDefault="00C80BA2" w:rsidP="00B35622">
            <w:pPr>
              <w:jc w:val="both"/>
              <w:rPr>
                <w:rFonts w:eastAsia="Calibri"/>
              </w:rPr>
            </w:pPr>
            <w:r>
              <w:rPr>
                <w:rFonts w:eastAsia="Calibri"/>
              </w:rPr>
              <w:t>50</w:t>
            </w:r>
          </w:p>
        </w:tc>
      </w:tr>
    </w:tbl>
    <w:p w14:paraId="450EEC04" w14:textId="5CFA958D" w:rsidR="00171892" w:rsidRDefault="00171892" w:rsidP="009A78FC">
      <w:pPr>
        <w:jc w:val="both"/>
        <w:rPr>
          <w:rFonts w:eastAsia="MS Mincho"/>
          <w:sz w:val="24"/>
          <w:szCs w:val="24"/>
        </w:rPr>
      </w:pPr>
    </w:p>
    <w:p w14:paraId="14482535" w14:textId="2EC813B5" w:rsidR="008C0E55" w:rsidRDefault="008C0E55" w:rsidP="009A78FC">
      <w:pPr>
        <w:jc w:val="both"/>
        <w:rPr>
          <w:rFonts w:eastAsia="MS Mincho"/>
          <w:sz w:val="24"/>
          <w:szCs w:val="24"/>
        </w:rPr>
      </w:pPr>
    </w:p>
    <w:p w14:paraId="4CA8DC19" w14:textId="051080A7" w:rsidR="008C0E55" w:rsidRDefault="008C0E55" w:rsidP="009A78FC">
      <w:pPr>
        <w:jc w:val="both"/>
        <w:rPr>
          <w:rFonts w:eastAsia="MS Mincho"/>
          <w:sz w:val="24"/>
          <w:szCs w:val="24"/>
        </w:rPr>
      </w:pPr>
    </w:p>
    <w:p w14:paraId="65244AC7" w14:textId="3C559267" w:rsidR="008C0E55" w:rsidRDefault="008C0E55" w:rsidP="009A78FC">
      <w:pPr>
        <w:jc w:val="both"/>
        <w:rPr>
          <w:rFonts w:eastAsia="MS Mincho"/>
          <w:sz w:val="24"/>
          <w:szCs w:val="24"/>
        </w:rPr>
      </w:pPr>
    </w:p>
    <w:p w14:paraId="39DE58A7" w14:textId="77777777" w:rsidR="008C0E55" w:rsidRDefault="008C0E55" w:rsidP="009A78FC">
      <w:pPr>
        <w:jc w:val="both"/>
        <w:rPr>
          <w:rFonts w:eastAsia="MS Minch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59"/>
      </w:tblGrid>
      <w:tr w:rsidR="005608B2" w:rsidRPr="009A78FC" w14:paraId="3ACBE105" w14:textId="77777777" w:rsidTr="00AE5AB6">
        <w:tc>
          <w:tcPr>
            <w:tcW w:w="7763" w:type="dxa"/>
            <w:tcBorders>
              <w:top w:val="single" w:sz="4" w:space="0" w:color="auto"/>
              <w:left w:val="single" w:sz="4" w:space="0" w:color="auto"/>
              <w:bottom w:val="single" w:sz="4" w:space="0" w:color="auto"/>
              <w:right w:val="single" w:sz="4" w:space="0" w:color="auto"/>
            </w:tcBorders>
            <w:hideMark/>
          </w:tcPr>
          <w:p w14:paraId="5A57888C" w14:textId="77777777" w:rsidR="005608B2" w:rsidRPr="009C5FDC" w:rsidRDefault="005608B2" w:rsidP="00B35622">
            <w:pPr>
              <w:jc w:val="both"/>
              <w:rPr>
                <w:rFonts w:eastAsia="Calibri"/>
                <w:b/>
              </w:rPr>
            </w:pPr>
            <w:r w:rsidRPr="009C5FDC">
              <w:rPr>
                <w:rFonts w:eastAsia="Calibri"/>
                <w:b/>
              </w:rPr>
              <w:t>Evaluation de la soumission technique</w:t>
            </w:r>
          </w:p>
          <w:p w14:paraId="6B1E4CBB" w14:textId="77777777" w:rsidR="005608B2" w:rsidRPr="005608B2" w:rsidRDefault="005608B2" w:rsidP="00B35622">
            <w:pPr>
              <w:jc w:val="both"/>
              <w:rPr>
                <w:rFonts w:eastAsia="Calibri"/>
                <w:b/>
              </w:rPr>
            </w:pPr>
            <w:r w:rsidRPr="009C5FDC">
              <w:rPr>
                <w:rFonts w:eastAsia="Calibri"/>
                <w:b/>
              </w:rPr>
              <w:t>Formulaire 2</w:t>
            </w:r>
          </w:p>
        </w:tc>
        <w:tc>
          <w:tcPr>
            <w:tcW w:w="1559" w:type="dxa"/>
            <w:tcBorders>
              <w:top w:val="single" w:sz="4" w:space="0" w:color="auto"/>
              <w:left w:val="single" w:sz="4" w:space="0" w:color="auto"/>
              <w:bottom w:val="single" w:sz="4" w:space="0" w:color="auto"/>
              <w:right w:val="single" w:sz="4" w:space="0" w:color="auto"/>
            </w:tcBorders>
            <w:hideMark/>
          </w:tcPr>
          <w:p w14:paraId="04729507" w14:textId="77777777" w:rsidR="005608B2" w:rsidRPr="009C5FDC" w:rsidRDefault="005608B2" w:rsidP="00B35622">
            <w:pPr>
              <w:jc w:val="both"/>
              <w:rPr>
                <w:rFonts w:eastAsia="Calibri"/>
                <w:b/>
              </w:rPr>
            </w:pPr>
            <w:r w:rsidRPr="009C5FDC">
              <w:rPr>
                <w:rFonts w:eastAsia="Calibri"/>
                <w:b/>
              </w:rPr>
              <w:t>Points Maximum</w:t>
            </w:r>
          </w:p>
        </w:tc>
      </w:tr>
      <w:tr w:rsidR="005608B2" w:rsidRPr="009A78FC" w14:paraId="771388B2" w14:textId="77777777" w:rsidTr="00AE5AB6">
        <w:tc>
          <w:tcPr>
            <w:tcW w:w="7763" w:type="dxa"/>
            <w:tcBorders>
              <w:top w:val="single" w:sz="4" w:space="0" w:color="auto"/>
              <w:left w:val="single" w:sz="4" w:space="0" w:color="auto"/>
              <w:bottom w:val="single" w:sz="4" w:space="0" w:color="auto"/>
              <w:right w:val="single" w:sz="4" w:space="0" w:color="auto"/>
            </w:tcBorders>
            <w:shd w:val="clear" w:color="auto" w:fill="5B9BD5"/>
            <w:hideMark/>
          </w:tcPr>
          <w:p w14:paraId="3A844E7D" w14:textId="77777777" w:rsidR="005608B2" w:rsidRPr="009C5FDC" w:rsidRDefault="005608B2" w:rsidP="00B35622">
            <w:pPr>
              <w:jc w:val="both"/>
              <w:rPr>
                <w:rFonts w:eastAsia="Calibri"/>
                <w:b/>
              </w:rPr>
            </w:pPr>
            <w:r w:rsidRPr="009C5FDC">
              <w:rPr>
                <w:rFonts w:eastAsia="Calibri"/>
                <w:b/>
              </w:rPr>
              <w:t>Méthodologie de travail, planning et chronogramme détaillé par expert et par tâche</w:t>
            </w:r>
          </w:p>
        </w:tc>
        <w:tc>
          <w:tcPr>
            <w:tcW w:w="1559" w:type="dxa"/>
            <w:tcBorders>
              <w:top w:val="single" w:sz="4" w:space="0" w:color="auto"/>
              <w:left w:val="single" w:sz="4" w:space="0" w:color="auto"/>
              <w:bottom w:val="single" w:sz="4" w:space="0" w:color="auto"/>
              <w:right w:val="single" w:sz="4" w:space="0" w:color="auto"/>
            </w:tcBorders>
            <w:shd w:val="clear" w:color="auto" w:fill="5B9BD5"/>
            <w:hideMark/>
          </w:tcPr>
          <w:p w14:paraId="00C3EACE" w14:textId="77777777" w:rsidR="005608B2" w:rsidRPr="009C5FDC" w:rsidRDefault="005608B2" w:rsidP="00B35622">
            <w:pPr>
              <w:jc w:val="both"/>
              <w:rPr>
                <w:rFonts w:eastAsia="Calibri"/>
                <w:b/>
              </w:rPr>
            </w:pPr>
            <w:r w:rsidRPr="009C5FDC">
              <w:rPr>
                <w:rFonts w:eastAsia="Calibri"/>
                <w:b/>
              </w:rPr>
              <w:t>400</w:t>
            </w:r>
          </w:p>
        </w:tc>
      </w:tr>
      <w:tr w:rsidR="005608B2" w:rsidRPr="009A78FC" w14:paraId="75E69DAF" w14:textId="77777777" w:rsidTr="00AE5AB6">
        <w:tc>
          <w:tcPr>
            <w:tcW w:w="7763" w:type="dxa"/>
            <w:tcBorders>
              <w:top w:val="single" w:sz="4" w:space="0" w:color="auto"/>
              <w:left w:val="single" w:sz="4" w:space="0" w:color="auto"/>
              <w:bottom w:val="single" w:sz="4" w:space="0" w:color="auto"/>
              <w:right w:val="single" w:sz="4" w:space="0" w:color="auto"/>
            </w:tcBorders>
            <w:hideMark/>
          </w:tcPr>
          <w:p w14:paraId="437006C8" w14:textId="708B2DE0" w:rsidR="005608B2" w:rsidRPr="005608B2" w:rsidRDefault="005608B2" w:rsidP="00B35622">
            <w:pPr>
              <w:jc w:val="both"/>
              <w:rPr>
                <w:rFonts w:eastAsia="Calibri"/>
                <w:b/>
              </w:rPr>
            </w:pPr>
            <w:r w:rsidRPr="005608B2">
              <w:rPr>
                <w:rFonts w:eastAsia="Calibri"/>
                <w:b/>
              </w:rPr>
              <w:t xml:space="preserve">2.1 </w:t>
            </w:r>
            <w:r w:rsidRPr="006966F7">
              <w:rPr>
                <w:rFonts w:eastAsia="Calibri"/>
                <w:bCs/>
              </w:rPr>
              <w:t>Dans quelle mesure le soumissionnaire comprend il la mission à accomplir ?</w:t>
            </w:r>
            <w:r w:rsidR="00D32B1F" w:rsidRPr="006966F7">
              <w:rPr>
                <w:rFonts w:eastAsia="Calibri"/>
                <w:bCs/>
              </w:rPr>
              <w:t xml:space="preserve"> et a </w:t>
            </w:r>
            <w:r w:rsidR="00AE5AB6" w:rsidRPr="006966F7">
              <w:rPr>
                <w:rFonts w:eastAsia="Calibri"/>
                <w:bCs/>
              </w:rPr>
              <w:t>traité</w:t>
            </w:r>
            <w:r w:rsidR="00D32B1F" w:rsidRPr="006966F7">
              <w:rPr>
                <w:rFonts w:eastAsia="Calibri"/>
                <w:bCs/>
              </w:rPr>
              <w:t xml:space="preserve"> les t</w:t>
            </w:r>
            <w:r w:rsidR="008C0E55" w:rsidRPr="006966F7">
              <w:rPr>
                <w:rFonts w:eastAsia="Calibri"/>
                <w:bCs/>
              </w:rPr>
              <w:t>âche</w:t>
            </w:r>
            <w:r w:rsidR="00AE5AB6" w:rsidRPr="006966F7">
              <w:rPr>
                <w:rFonts w:eastAsia="Calibri"/>
                <w:bCs/>
              </w:rPr>
              <w:t>s</w:t>
            </w:r>
            <w:r w:rsidR="00D32B1F" w:rsidRPr="006966F7">
              <w:rPr>
                <w:rFonts w:eastAsia="Calibri"/>
                <w:bCs/>
              </w:rPr>
              <w:t xml:space="preserve"> </w:t>
            </w:r>
            <w:r w:rsidR="008C0E55" w:rsidRPr="006966F7">
              <w:rPr>
                <w:rFonts w:eastAsia="Calibri"/>
                <w:bCs/>
              </w:rPr>
              <w:t>demandées</w:t>
            </w:r>
            <w:r w:rsidR="00D32B1F" w:rsidRPr="006966F7">
              <w:rPr>
                <w:rFonts w:eastAsia="Calibri"/>
                <w:bCs/>
              </w:rPr>
              <w:t xml:space="preserve"> de manière suffisamment détaillée</w:t>
            </w:r>
            <w:r w:rsidR="008C0E55" w:rsidRPr="006966F7">
              <w:rPr>
                <w:rFonts w:eastAsia="Calibri"/>
                <w:bCs/>
              </w:rPr>
              <w:t xml:space="preserve"> par rapport aux termes de références</w:t>
            </w:r>
            <w:r w:rsidR="00AE5AB6" w:rsidRPr="006966F7">
              <w:rPr>
                <w:rFonts w:eastAsia="Calibri"/>
                <w:bCs/>
              </w:rPr>
              <w:t> ?</w:t>
            </w:r>
          </w:p>
        </w:tc>
        <w:tc>
          <w:tcPr>
            <w:tcW w:w="1559" w:type="dxa"/>
            <w:tcBorders>
              <w:top w:val="single" w:sz="4" w:space="0" w:color="auto"/>
              <w:left w:val="single" w:sz="4" w:space="0" w:color="auto"/>
              <w:bottom w:val="single" w:sz="4" w:space="0" w:color="auto"/>
              <w:right w:val="single" w:sz="4" w:space="0" w:color="auto"/>
            </w:tcBorders>
            <w:hideMark/>
          </w:tcPr>
          <w:p w14:paraId="3BC0FE3F" w14:textId="77777777" w:rsidR="005608B2" w:rsidRPr="009C5FDC" w:rsidRDefault="005608B2" w:rsidP="00B35622">
            <w:pPr>
              <w:jc w:val="both"/>
              <w:rPr>
                <w:rFonts w:eastAsia="Calibri"/>
                <w:b/>
              </w:rPr>
            </w:pPr>
            <w:r w:rsidRPr="009C5FDC">
              <w:rPr>
                <w:rFonts w:eastAsia="Calibri"/>
                <w:b/>
              </w:rPr>
              <w:t>75</w:t>
            </w:r>
          </w:p>
        </w:tc>
      </w:tr>
      <w:tr w:rsidR="005608B2" w:rsidRPr="009A78FC" w14:paraId="4FF0B87F" w14:textId="77777777" w:rsidTr="00AE5AB6">
        <w:tc>
          <w:tcPr>
            <w:tcW w:w="7763" w:type="dxa"/>
            <w:tcBorders>
              <w:top w:val="single" w:sz="4" w:space="0" w:color="auto"/>
              <w:left w:val="single" w:sz="4" w:space="0" w:color="auto"/>
              <w:bottom w:val="single" w:sz="4" w:space="0" w:color="auto"/>
              <w:right w:val="single" w:sz="4" w:space="0" w:color="auto"/>
            </w:tcBorders>
            <w:hideMark/>
          </w:tcPr>
          <w:p w14:paraId="73034146" w14:textId="04189697" w:rsidR="005608B2" w:rsidRPr="006966F7" w:rsidRDefault="00A11E6C" w:rsidP="006966F7">
            <w:pPr>
              <w:jc w:val="both"/>
              <w:rPr>
                <w:rFonts w:eastAsia="Calibri"/>
                <w:bCs/>
              </w:rPr>
            </w:pPr>
            <w:r>
              <w:rPr>
                <w:rFonts w:eastAsia="Calibri"/>
                <w:b/>
              </w:rPr>
              <w:t xml:space="preserve">2.2 </w:t>
            </w:r>
            <w:r w:rsidR="005608B2" w:rsidRPr="006966F7">
              <w:rPr>
                <w:rFonts w:eastAsia="Calibri"/>
                <w:bCs/>
              </w:rPr>
              <w:t>Le contenu de la méthodologie et le déroulement des activités proposées sont-ils bien définis, logiques, réalistes et correspondant ils aux termes de référence de la mission ?</w:t>
            </w:r>
          </w:p>
          <w:p w14:paraId="5EEC1037" w14:textId="598DD19B" w:rsidR="005608B2" w:rsidRPr="005608B2" w:rsidRDefault="005608B2" w:rsidP="005608B2">
            <w:pPr>
              <w:jc w:val="both"/>
              <w:rPr>
                <w:rFonts w:eastAsia="Calibri"/>
                <w:b/>
              </w:rPr>
            </w:pPr>
            <w:r w:rsidRPr="005608B2">
              <w:rPr>
                <w:rFonts w:eastAsia="Calibri"/>
                <w:b/>
              </w:rPr>
              <w:t>-Tâche 1 :</w:t>
            </w:r>
            <w:r w:rsidR="00E27982">
              <w:rPr>
                <w:rFonts w:eastAsia="Calibri"/>
                <w:b/>
              </w:rPr>
              <w:t xml:space="preserve"> </w:t>
            </w:r>
            <w:r w:rsidR="00E27982" w:rsidRPr="006966F7">
              <w:rPr>
                <w:rFonts w:eastAsia="Calibri"/>
                <w:bCs/>
              </w:rPr>
              <w:t>l’inventaire national GES</w:t>
            </w:r>
            <w:r w:rsidR="00B35F2E">
              <w:rPr>
                <w:rFonts w:eastAsia="Calibri"/>
                <w:bCs/>
              </w:rPr>
              <w:t xml:space="preserve"> avec un système national </w:t>
            </w:r>
            <w:proofErr w:type="spellStart"/>
            <w:r w:rsidR="00B35F2E">
              <w:rPr>
                <w:rFonts w:eastAsia="Calibri"/>
                <w:bCs/>
              </w:rPr>
              <w:t>a</w:t>
            </w:r>
            <w:proofErr w:type="spellEnd"/>
            <w:r w:rsidR="00B35F2E">
              <w:rPr>
                <w:rFonts w:eastAsia="Calibri"/>
                <w:bCs/>
              </w:rPr>
              <w:t xml:space="preserve"> mettre en </w:t>
            </w:r>
            <w:proofErr w:type="gramStart"/>
            <w:r w:rsidR="00B35F2E">
              <w:rPr>
                <w:rFonts w:eastAsia="Calibri"/>
                <w:bCs/>
              </w:rPr>
              <w:t>place</w:t>
            </w:r>
            <w:r w:rsidRPr="005608B2">
              <w:rPr>
                <w:rFonts w:eastAsia="Calibri"/>
                <w:b/>
              </w:rPr>
              <w:t>:</w:t>
            </w:r>
            <w:proofErr w:type="gramEnd"/>
            <w:r w:rsidRPr="005608B2">
              <w:rPr>
                <w:rFonts w:eastAsia="Calibri"/>
                <w:b/>
              </w:rPr>
              <w:t xml:space="preserve"> </w:t>
            </w:r>
            <w:r w:rsidR="00B35F2E">
              <w:rPr>
                <w:rFonts w:eastAsia="Calibri"/>
                <w:b/>
              </w:rPr>
              <w:t>3</w:t>
            </w:r>
            <w:r w:rsidR="000C45A5">
              <w:rPr>
                <w:rFonts w:eastAsia="Calibri"/>
                <w:b/>
              </w:rPr>
              <w:t>5</w:t>
            </w:r>
            <w:r w:rsidRPr="005608B2">
              <w:rPr>
                <w:rFonts w:eastAsia="Calibri"/>
                <w:b/>
              </w:rPr>
              <w:t xml:space="preserve"> points</w:t>
            </w:r>
          </w:p>
          <w:p w14:paraId="2137080A" w14:textId="68C53B21" w:rsidR="005608B2" w:rsidRPr="005608B2" w:rsidRDefault="005608B2" w:rsidP="005608B2">
            <w:pPr>
              <w:jc w:val="both"/>
              <w:rPr>
                <w:rFonts w:eastAsia="Calibri"/>
                <w:b/>
              </w:rPr>
            </w:pPr>
            <w:r w:rsidRPr="005608B2">
              <w:rPr>
                <w:rFonts w:eastAsia="Calibri"/>
                <w:b/>
              </w:rPr>
              <w:t>-Tâche 2 :</w:t>
            </w:r>
            <w:r w:rsidR="00E27982">
              <w:rPr>
                <w:rFonts w:eastAsia="Calibri"/>
                <w:b/>
              </w:rPr>
              <w:t xml:space="preserve"> </w:t>
            </w:r>
            <w:r w:rsidR="00723C30">
              <w:rPr>
                <w:rFonts w:eastAsia="Calibri"/>
                <w:bCs/>
              </w:rPr>
              <w:t>Mise</w:t>
            </w:r>
            <w:r w:rsidR="00723C30" w:rsidRPr="006966F7">
              <w:rPr>
                <w:rFonts w:eastAsia="Calibri"/>
                <w:bCs/>
              </w:rPr>
              <w:t xml:space="preserve"> </w:t>
            </w:r>
            <w:r w:rsidR="00176E37" w:rsidRPr="006966F7">
              <w:rPr>
                <w:rFonts w:eastAsia="Calibri"/>
                <w:bCs/>
              </w:rPr>
              <w:t>à</w:t>
            </w:r>
            <w:r w:rsidR="00E27982" w:rsidRPr="006966F7">
              <w:rPr>
                <w:rFonts w:eastAsia="Calibri"/>
                <w:bCs/>
              </w:rPr>
              <w:t xml:space="preserve"> jour </w:t>
            </w:r>
            <w:r w:rsidR="00723C30">
              <w:rPr>
                <w:rFonts w:eastAsia="Calibri"/>
                <w:bCs/>
              </w:rPr>
              <w:t xml:space="preserve">de </w:t>
            </w:r>
            <w:r w:rsidR="00E27982" w:rsidRPr="006966F7">
              <w:rPr>
                <w:rFonts w:eastAsia="Calibri"/>
                <w:bCs/>
              </w:rPr>
              <w:t>l’objectif de l’</w:t>
            </w:r>
            <w:r w:rsidR="00D0767A" w:rsidRPr="006966F7">
              <w:rPr>
                <w:rFonts w:eastAsia="Calibri"/>
                <w:bCs/>
              </w:rPr>
              <w:t>atténuation</w:t>
            </w:r>
            <w:r w:rsidR="003646AB">
              <w:rPr>
                <w:rFonts w:eastAsia="Calibri"/>
                <w:bCs/>
              </w:rPr>
              <w:t xml:space="preserve"> </w:t>
            </w:r>
            <w:r w:rsidR="00DB2651">
              <w:rPr>
                <w:rFonts w:eastAsia="Calibri"/>
                <w:bCs/>
              </w:rPr>
              <w:t>à</w:t>
            </w:r>
            <w:r w:rsidR="003646AB">
              <w:rPr>
                <w:rFonts w:eastAsia="Calibri"/>
                <w:bCs/>
              </w:rPr>
              <w:t xml:space="preserve"> l’horizon 2030</w:t>
            </w:r>
            <w:r w:rsidR="00E27982">
              <w:rPr>
                <w:rFonts w:eastAsia="Calibri"/>
                <w:b/>
              </w:rPr>
              <w:t xml:space="preserve"> </w:t>
            </w:r>
            <w:r w:rsidRPr="005608B2">
              <w:rPr>
                <w:rFonts w:eastAsia="Calibri"/>
                <w:b/>
              </w:rPr>
              <w:t xml:space="preserve">: </w:t>
            </w:r>
            <w:r w:rsidR="003F7570">
              <w:rPr>
                <w:rFonts w:eastAsia="Calibri"/>
                <w:b/>
              </w:rPr>
              <w:t>4</w:t>
            </w:r>
            <w:r w:rsidR="000B2E78">
              <w:rPr>
                <w:rFonts w:eastAsia="Calibri"/>
                <w:b/>
              </w:rPr>
              <w:t>0</w:t>
            </w:r>
            <w:r w:rsidR="000B2E78" w:rsidRPr="005608B2">
              <w:rPr>
                <w:rFonts w:eastAsia="Calibri"/>
                <w:b/>
              </w:rPr>
              <w:t xml:space="preserve"> </w:t>
            </w:r>
            <w:r w:rsidRPr="005608B2">
              <w:rPr>
                <w:rFonts w:eastAsia="Calibri"/>
                <w:b/>
              </w:rPr>
              <w:t>points</w:t>
            </w:r>
          </w:p>
          <w:p w14:paraId="573C3D5A" w14:textId="04B0F10E" w:rsidR="005608B2" w:rsidRPr="005608B2" w:rsidRDefault="005608B2" w:rsidP="005608B2">
            <w:pPr>
              <w:jc w:val="both"/>
              <w:rPr>
                <w:rFonts w:eastAsia="Calibri"/>
                <w:b/>
              </w:rPr>
            </w:pPr>
            <w:r w:rsidRPr="005608B2">
              <w:rPr>
                <w:rFonts w:eastAsia="Calibri"/>
                <w:b/>
              </w:rPr>
              <w:t>-Tâche 3 :</w:t>
            </w:r>
            <w:r w:rsidR="00B93802">
              <w:rPr>
                <w:rFonts w:eastAsia="Calibri"/>
                <w:b/>
              </w:rPr>
              <w:t xml:space="preserve"> </w:t>
            </w:r>
            <w:r w:rsidR="00B93802" w:rsidRPr="006966F7">
              <w:rPr>
                <w:rFonts w:eastAsia="Calibri"/>
                <w:bCs/>
              </w:rPr>
              <w:t xml:space="preserve">Evaluation des </w:t>
            </w:r>
            <w:r w:rsidR="00F2538D">
              <w:rPr>
                <w:rFonts w:eastAsia="Calibri"/>
                <w:bCs/>
              </w:rPr>
              <w:t>besoin</w:t>
            </w:r>
            <w:r w:rsidR="00B93C6B">
              <w:rPr>
                <w:rFonts w:eastAsia="Calibri"/>
                <w:bCs/>
              </w:rPr>
              <w:t>s</w:t>
            </w:r>
            <w:r w:rsidR="00F2538D">
              <w:rPr>
                <w:rFonts w:eastAsia="Calibri"/>
                <w:bCs/>
              </w:rPr>
              <w:t xml:space="preserve"> de financement</w:t>
            </w:r>
            <w:r w:rsidR="00B93802" w:rsidRPr="006966F7">
              <w:rPr>
                <w:rFonts w:eastAsia="Calibri"/>
                <w:bCs/>
              </w:rPr>
              <w:t xml:space="preserve"> de la CDN/atténuation</w:t>
            </w:r>
            <w:r w:rsidRPr="005608B2">
              <w:rPr>
                <w:rFonts w:eastAsia="Calibri"/>
                <w:b/>
              </w:rPr>
              <w:t xml:space="preserve"> </w:t>
            </w:r>
            <w:r w:rsidR="000C45A5">
              <w:rPr>
                <w:rFonts w:eastAsia="Calibri"/>
                <w:b/>
              </w:rPr>
              <w:t>3</w:t>
            </w:r>
            <w:r w:rsidR="00996A85">
              <w:rPr>
                <w:rFonts w:eastAsia="Calibri"/>
                <w:b/>
              </w:rPr>
              <w:t>0</w:t>
            </w:r>
            <w:r w:rsidR="00996A85" w:rsidRPr="005608B2">
              <w:rPr>
                <w:rFonts w:eastAsia="Calibri"/>
                <w:b/>
              </w:rPr>
              <w:t xml:space="preserve"> </w:t>
            </w:r>
            <w:r w:rsidRPr="005608B2">
              <w:rPr>
                <w:rFonts w:eastAsia="Calibri"/>
                <w:b/>
              </w:rPr>
              <w:t>points</w:t>
            </w:r>
          </w:p>
          <w:p w14:paraId="3D0A77BE" w14:textId="18A7D1D2" w:rsidR="005608B2" w:rsidRPr="005608B2" w:rsidRDefault="005608B2" w:rsidP="005608B2">
            <w:pPr>
              <w:jc w:val="both"/>
              <w:rPr>
                <w:rFonts w:eastAsia="Calibri"/>
                <w:b/>
              </w:rPr>
            </w:pPr>
            <w:r w:rsidRPr="005608B2">
              <w:rPr>
                <w:rFonts w:eastAsia="Calibri"/>
                <w:b/>
              </w:rPr>
              <w:t xml:space="preserve">-Tâche 4 : </w:t>
            </w:r>
            <w:r w:rsidR="002254F0" w:rsidRPr="001054DE">
              <w:rPr>
                <w:rFonts w:eastAsia="Calibri"/>
                <w:bCs/>
              </w:rPr>
              <w:t xml:space="preserve">Evaluation de l’impacts de la politique d’atténuation </w:t>
            </w:r>
            <w:r w:rsidR="00C63E9C">
              <w:rPr>
                <w:rFonts w:eastAsia="Calibri"/>
                <w:b/>
              </w:rPr>
              <w:t>:</w:t>
            </w:r>
            <w:r w:rsidRPr="005608B2">
              <w:rPr>
                <w:rFonts w:eastAsia="Calibri"/>
                <w:b/>
              </w:rPr>
              <w:t xml:space="preserve"> </w:t>
            </w:r>
            <w:r w:rsidR="000C45A5">
              <w:rPr>
                <w:rFonts w:eastAsia="Calibri"/>
                <w:b/>
              </w:rPr>
              <w:t>3</w:t>
            </w:r>
            <w:r w:rsidRPr="005608B2">
              <w:rPr>
                <w:rFonts w:eastAsia="Calibri"/>
                <w:b/>
              </w:rPr>
              <w:t>0 points</w:t>
            </w:r>
          </w:p>
          <w:p w14:paraId="0AD6CFD1" w14:textId="4656EFCF" w:rsidR="005608B2" w:rsidRPr="005608B2" w:rsidRDefault="005608B2" w:rsidP="005608B2">
            <w:pPr>
              <w:jc w:val="both"/>
              <w:rPr>
                <w:rFonts w:eastAsia="Calibri"/>
                <w:b/>
              </w:rPr>
            </w:pPr>
            <w:r w:rsidRPr="005608B2">
              <w:rPr>
                <w:rFonts w:eastAsia="Calibri"/>
                <w:b/>
              </w:rPr>
              <w:t xml:space="preserve">-Tâche </w:t>
            </w:r>
            <w:r w:rsidR="002426ED">
              <w:rPr>
                <w:rFonts w:eastAsia="Calibri"/>
                <w:b/>
              </w:rPr>
              <w:t>5</w:t>
            </w:r>
            <w:r w:rsidR="00793AF5">
              <w:rPr>
                <w:rFonts w:eastAsia="Calibri"/>
                <w:b/>
              </w:rPr>
              <w:t xml:space="preserve"> : </w:t>
            </w:r>
            <w:r w:rsidR="00793AF5" w:rsidRPr="008E7391">
              <w:rPr>
                <w:rFonts w:eastAsia="Calibri"/>
                <w:bCs/>
              </w:rPr>
              <w:t xml:space="preserve">Elaboration des indicateurs de suivi de la CDN </w:t>
            </w:r>
            <w:r w:rsidR="00765EDC" w:rsidRPr="008E7391">
              <w:rPr>
                <w:rFonts w:eastAsia="Calibri"/>
                <w:bCs/>
              </w:rPr>
              <w:t>atténuation</w:t>
            </w:r>
            <w:r w:rsidR="00765EDC" w:rsidRPr="005608B2">
              <w:rPr>
                <w:rFonts w:eastAsia="Calibri"/>
                <w:b/>
              </w:rPr>
              <w:t xml:space="preserve"> :</w:t>
            </w:r>
            <w:r w:rsidRPr="005608B2">
              <w:rPr>
                <w:rFonts w:eastAsia="Calibri"/>
                <w:b/>
              </w:rPr>
              <w:t xml:space="preserve"> </w:t>
            </w:r>
            <w:r w:rsidR="000C45A5">
              <w:rPr>
                <w:rFonts w:eastAsia="Calibri"/>
                <w:b/>
              </w:rPr>
              <w:t>3</w:t>
            </w:r>
            <w:r w:rsidR="008E54D1">
              <w:rPr>
                <w:rFonts w:eastAsia="Calibri"/>
                <w:b/>
              </w:rPr>
              <w:t>0</w:t>
            </w:r>
            <w:r w:rsidR="008E54D1" w:rsidRPr="005608B2">
              <w:rPr>
                <w:rFonts w:eastAsia="Calibri"/>
                <w:b/>
              </w:rPr>
              <w:t xml:space="preserve"> </w:t>
            </w:r>
            <w:r w:rsidRPr="005608B2">
              <w:rPr>
                <w:rFonts w:eastAsia="Calibri"/>
                <w:b/>
              </w:rPr>
              <w:t>points</w:t>
            </w:r>
          </w:p>
          <w:p w14:paraId="6DEF2C30" w14:textId="76CBDD63" w:rsidR="005608B2" w:rsidRPr="005608B2" w:rsidRDefault="005608B2" w:rsidP="005608B2">
            <w:pPr>
              <w:jc w:val="both"/>
              <w:rPr>
                <w:rFonts w:eastAsia="Calibri"/>
                <w:b/>
              </w:rPr>
            </w:pPr>
            <w:r w:rsidRPr="005608B2">
              <w:rPr>
                <w:rFonts w:eastAsia="Calibri"/>
                <w:b/>
              </w:rPr>
              <w:t xml:space="preserve">-Tâche </w:t>
            </w:r>
            <w:r w:rsidR="000C45A5">
              <w:rPr>
                <w:rFonts w:eastAsia="Calibri"/>
                <w:b/>
              </w:rPr>
              <w:t>6</w:t>
            </w:r>
            <w:r w:rsidR="009E6BC5">
              <w:rPr>
                <w:rFonts w:eastAsia="Calibri"/>
                <w:b/>
              </w:rPr>
              <w:t xml:space="preserve"> : </w:t>
            </w:r>
            <w:r w:rsidR="009E6BC5" w:rsidRPr="00E32D2A">
              <w:rPr>
                <w:rFonts w:eastAsia="Calibri"/>
                <w:bCs/>
              </w:rPr>
              <w:t xml:space="preserve">Rapport final sur la mise à jour de la CDN dans le domaine de </w:t>
            </w:r>
            <w:proofErr w:type="gramStart"/>
            <w:r w:rsidR="009E6BC5" w:rsidRPr="00E32D2A">
              <w:rPr>
                <w:rFonts w:eastAsia="Calibri"/>
                <w:bCs/>
              </w:rPr>
              <w:t>l’atténuation</w:t>
            </w:r>
            <w:r w:rsidR="00950CAE" w:rsidRPr="005608B2">
              <w:rPr>
                <w:rFonts w:eastAsia="Calibri"/>
                <w:b/>
              </w:rPr>
              <w:t>:</w:t>
            </w:r>
            <w:proofErr w:type="gramEnd"/>
            <w:r w:rsidRPr="005608B2">
              <w:rPr>
                <w:rFonts w:eastAsia="Calibri"/>
                <w:b/>
              </w:rPr>
              <w:t xml:space="preserve"> </w:t>
            </w:r>
            <w:r w:rsidR="000C45A5">
              <w:rPr>
                <w:rFonts w:eastAsia="Calibri"/>
                <w:b/>
              </w:rPr>
              <w:t>20</w:t>
            </w:r>
            <w:r w:rsidR="00793AF5" w:rsidRPr="005608B2">
              <w:rPr>
                <w:rFonts w:eastAsia="Calibri"/>
                <w:b/>
              </w:rPr>
              <w:t xml:space="preserve"> </w:t>
            </w:r>
            <w:r w:rsidRPr="005608B2">
              <w:rPr>
                <w:rFonts w:eastAsia="Calibri"/>
                <w:b/>
              </w:rPr>
              <w:t>points</w:t>
            </w:r>
          </w:p>
          <w:p w14:paraId="0B7F0E2C" w14:textId="257980B5" w:rsidR="005608B2" w:rsidRPr="005608B2" w:rsidRDefault="005608B2" w:rsidP="005608B2">
            <w:pPr>
              <w:jc w:val="both"/>
              <w:rPr>
                <w:rFonts w:eastAsia="Calibri"/>
                <w:b/>
              </w:rPr>
            </w:pPr>
            <w:r w:rsidRPr="005608B2">
              <w:rPr>
                <w:rFonts w:eastAsia="Calibri"/>
                <w:b/>
              </w:rPr>
              <w:t>-Tâche 7</w:t>
            </w:r>
            <w:r w:rsidR="00765EDC">
              <w:rPr>
                <w:rFonts w:eastAsia="Calibri"/>
                <w:b/>
              </w:rPr>
              <w:t xml:space="preserve"> : </w:t>
            </w:r>
            <w:r w:rsidR="00765EDC" w:rsidRPr="00190392">
              <w:rPr>
                <w:rFonts w:eastAsia="Calibri"/>
                <w:bCs/>
              </w:rPr>
              <w:t>la CDN consolidée avec toutes ses composantes</w:t>
            </w:r>
            <w:r w:rsidR="00765EDC">
              <w:rPr>
                <w:rFonts w:eastAsia="Calibri"/>
                <w:bCs/>
              </w:rPr>
              <w:t xml:space="preserve"> y compris </w:t>
            </w:r>
            <w:r w:rsidR="00765EDC" w:rsidRPr="00190392">
              <w:rPr>
                <w:rFonts w:eastAsia="Calibri"/>
                <w:bCs/>
              </w:rPr>
              <w:t xml:space="preserve">un chapitre sur la </w:t>
            </w:r>
            <w:proofErr w:type="gramStart"/>
            <w:r w:rsidR="00765EDC" w:rsidRPr="00190392">
              <w:rPr>
                <w:rFonts w:eastAsia="Calibri"/>
                <w:bCs/>
              </w:rPr>
              <w:t>synergie</w:t>
            </w:r>
            <w:r w:rsidRPr="005608B2">
              <w:rPr>
                <w:rFonts w:eastAsia="Calibri"/>
                <w:b/>
              </w:rPr>
              <w:t>:</w:t>
            </w:r>
            <w:proofErr w:type="gramEnd"/>
            <w:r w:rsidRPr="005608B2">
              <w:rPr>
                <w:rFonts w:eastAsia="Calibri"/>
                <w:b/>
              </w:rPr>
              <w:t xml:space="preserve"> </w:t>
            </w:r>
            <w:r w:rsidR="000C45A5">
              <w:rPr>
                <w:rFonts w:eastAsia="Calibri"/>
                <w:b/>
              </w:rPr>
              <w:t>4</w:t>
            </w:r>
            <w:r w:rsidRPr="005608B2">
              <w:rPr>
                <w:rFonts w:eastAsia="Calibri"/>
                <w:b/>
              </w:rPr>
              <w:t>0 points</w:t>
            </w:r>
          </w:p>
          <w:p w14:paraId="244F74A5" w14:textId="15E36FB9" w:rsidR="005608B2" w:rsidRDefault="005608B2" w:rsidP="005608B2">
            <w:pPr>
              <w:jc w:val="both"/>
              <w:rPr>
                <w:rFonts w:eastAsia="Calibri"/>
                <w:b/>
              </w:rPr>
            </w:pPr>
            <w:r w:rsidRPr="005608B2">
              <w:rPr>
                <w:rFonts w:eastAsia="Calibri"/>
                <w:b/>
              </w:rPr>
              <w:t xml:space="preserve">-Tâche 8 : </w:t>
            </w:r>
            <w:r w:rsidR="00801D78" w:rsidRPr="00F47312">
              <w:rPr>
                <w:rFonts w:eastAsia="Calibri"/>
                <w:bCs/>
              </w:rPr>
              <w:t>Elaboration de la feuille de route</w:t>
            </w:r>
            <w:r w:rsidR="00801D78" w:rsidRPr="005608B2">
              <w:rPr>
                <w:rFonts w:eastAsia="Calibri"/>
                <w:b/>
              </w:rPr>
              <w:t xml:space="preserve"> </w:t>
            </w:r>
            <w:r w:rsidR="00801D78" w:rsidRPr="006966F7">
              <w:rPr>
                <w:rFonts w:eastAsia="Calibri"/>
                <w:bCs/>
              </w:rPr>
              <w:t xml:space="preserve">de la mise en œuvre de la CDN mise </w:t>
            </w:r>
            <w:r w:rsidR="003F7570" w:rsidRPr="006966F7">
              <w:rPr>
                <w:rFonts w:eastAsia="Calibri"/>
                <w:bCs/>
              </w:rPr>
              <w:t>à</w:t>
            </w:r>
            <w:r w:rsidR="00801D78" w:rsidRPr="006966F7">
              <w:rPr>
                <w:rFonts w:eastAsia="Calibri"/>
                <w:bCs/>
              </w:rPr>
              <w:t xml:space="preserve"> </w:t>
            </w:r>
            <w:proofErr w:type="gramStart"/>
            <w:r w:rsidR="00801D78" w:rsidRPr="006966F7">
              <w:rPr>
                <w:rFonts w:eastAsia="Calibri"/>
                <w:bCs/>
              </w:rPr>
              <w:t>jour</w:t>
            </w:r>
            <w:r w:rsidRPr="005608B2">
              <w:rPr>
                <w:rFonts w:eastAsia="Calibri"/>
                <w:b/>
              </w:rPr>
              <w:t>:</w:t>
            </w:r>
            <w:proofErr w:type="gramEnd"/>
            <w:r w:rsidRPr="005608B2">
              <w:rPr>
                <w:rFonts w:eastAsia="Calibri"/>
                <w:b/>
              </w:rPr>
              <w:t xml:space="preserve"> </w:t>
            </w:r>
            <w:r w:rsidR="000C45A5">
              <w:rPr>
                <w:rFonts w:eastAsia="Calibri"/>
                <w:b/>
              </w:rPr>
              <w:t>3</w:t>
            </w:r>
            <w:r w:rsidRPr="005608B2">
              <w:rPr>
                <w:rFonts w:eastAsia="Calibri"/>
                <w:b/>
              </w:rPr>
              <w:t>0 points</w:t>
            </w:r>
          </w:p>
          <w:p w14:paraId="173A9C6F" w14:textId="456E3EF5" w:rsidR="005608B2" w:rsidRPr="005608B2" w:rsidRDefault="00EF4A70" w:rsidP="005608B2">
            <w:pPr>
              <w:jc w:val="both"/>
              <w:rPr>
                <w:rFonts w:eastAsia="Calibri"/>
                <w:b/>
              </w:rPr>
            </w:pPr>
            <w:r w:rsidRPr="005608B2">
              <w:rPr>
                <w:rFonts w:eastAsia="Calibri"/>
                <w:b/>
              </w:rPr>
              <w:t xml:space="preserve">-Tâche </w:t>
            </w:r>
            <w:r>
              <w:rPr>
                <w:rFonts w:eastAsia="Calibri"/>
                <w:b/>
              </w:rPr>
              <w:t xml:space="preserve">9 : </w:t>
            </w:r>
            <w:r w:rsidR="000C45A5">
              <w:rPr>
                <w:rFonts w:eastAsia="Calibri"/>
                <w:bCs/>
              </w:rPr>
              <w:t xml:space="preserve">Renforcement des capacités et </w:t>
            </w:r>
            <w:r w:rsidR="005608B2" w:rsidRPr="006966F7">
              <w:rPr>
                <w:rFonts w:eastAsia="Calibri"/>
                <w:bCs/>
              </w:rPr>
              <w:t>concertation avec les parties prenantes</w:t>
            </w:r>
            <w:r w:rsidR="005608B2" w:rsidRPr="005608B2">
              <w:rPr>
                <w:rFonts w:eastAsia="Calibri"/>
                <w:b/>
              </w:rPr>
              <w:t xml:space="preserve"> : </w:t>
            </w:r>
            <w:r w:rsidR="00A3598E">
              <w:rPr>
                <w:rFonts w:eastAsia="Calibri"/>
                <w:b/>
              </w:rPr>
              <w:t>20</w:t>
            </w:r>
            <w:r w:rsidR="00A3598E" w:rsidRPr="005608B2">
              <w:rPr>
                <w:rFonts w:eastAsia="Calibri"/>
                <w:b/>
              </w:rPr>
              <w:t xml:space="preserve"> </w:t>
            </w:r>
            <w:r w:rsidR="005608B2" w:rsidRPr="005608B2">
              <w:rPr>
                <w:rFonts w:eastAsia="Calibri"/>
                <w:b/>
              </w:rPr>
              <w:t xml:space="preserve">points </w:t>
            </w:r>
          </w:p>
          <w:p w14:paraId="3E901488" w14:textId="77777777" w:rsidR="005608B2" w:rsidRPr="005608B2" w:rsidRDefault="005608B2" w:rsidP="005608B2">
            <w:pPr>
              <w:jc w:val="both"/>
              <w:rPr>
                <w:rFonts w:eastAsia="Calibri"/>
                <w:b/>
              </w:rPr>
            </w:pPr>
          </w:p>
        </w:tc>
        <w:tc>
          <w:tcPr>
            <w:tcW w:w="1559" w:type="dxa"/>
            <w:tcBorders>
              <w:top w:val="single" w:sz="4" w:space="0" w:color="auto"/>
              <w:left w:val="single" w:sz="4" w:space="0" w:color="auto"/>
              <w:bottom w:val="single" w:sz="4" w:space="0" w:color="auto"/>
              <w:right w:val="single" w:sz="4" w:space="0" w:color="auto"/>
            </w:tcBorders>
            <w:hideMark/>
          </w:tcPr>
          <w:p w14:paraId="387086D0" w14:textId="317220E2" w:rsidR="005608B2" w:rsidRPr="009C5FDC" w:rsidRDefault="003E35C2" w:rsidP="00B35622">
            <w:pPr>
              <w:jc w:val="both"/>
              <w:rPr>
                <w:rFonts w:eastAsia="Calibri"/>
                <w:b/>
              </w:rPr>
            </w:pPr>
            <w:r w:rsidRPr="009C5FDC">
              <w:rPr>
                <w:rFonts w:eastAsia="Calibri"/>
                <w:b/>
              </w:rPr>
              <w:t>2</w:t>
            </w:r>
            <w:r>
              <w:rPr>
                <w:rFonts w:eastAsia="Calibri"/>
                <w:b/>
              </w:rPr>
              <w:t>75</w:t>
            </w:r>
          </w:p>
        </w:tc>
      </w:tr>
      <w:tr w:rsidR="005608B2" w:rsidRPr="009A78FC" w14:paraId="04338267" w14:textId="77777777" w:rsidTr="00AE5AB6">
        <w:tc>
          <w:tcPr>
            <w:tcW w:w="7763" w:type="dxa"/>
            <w:tcBorders>
              <w:top w:val="single" w:sz="4" w:space="0" w:color="auto"/>
              <w:left w:val="single" w:sz="4" w:space="0" w:color="auto"/>
              <w:bottom w:val="single" w:sz="4" w:space="0" w:color="auto"/>
              <w:right w:val="single" w:sz="4" w:space="0" w:color="auto"/>
            </w:tcBorders>
            <w:hideMark/>
          </w:tcPr>
          <w:p w14:paraId="60E2BF4B" w14:textId="77777777" w:rsidR="005608B2" w:rsidRPr="005608B2" w:rsidRDefault="005608B2" w:rsidP="00B35622">
            <w:pPr>
              <w:jc w:val="both"/>
              <w:rPr>
                <w:rFonts w:eastAsia="Calibri"/>
                <w:b/>
              </w:rPr>
            </w:pPr>
            <w:r w:rsidRPr="005608B2">
              <w:rPr>
                <w:rFonts w:eastAsia="Calibri"/>
                <w:b/>
              </w:rPr>
              <w:t xml:space="preserve">2.4 </w:t>
            </w:r>
            <w:r w:rsidRPr="006966F7">
              <w:rPr>
                <w:rFonts w:eastAsia="Calibri"/>
                <w:bCs/>
              </w:rPr>
              <w:t>Le planning et le chronogramme par tâche et par expert ont-ils été fournis et permettent-ils une réalisation de la mission dans les délais et avec la qualité requise ?</w:t>
            </w:r>
          </w:p>
        </w:tc>
        <w:tc>
          <w:tcPr>
            <w:tcW w:w="1559" w:type="dxa"/>
            <w:tcBorders>
              <w:top w:val="single" w:sz="4" w:space="0" w:color="auto"/>
              <w:left w:val="single" w:sz="4" w:space="0" w:color="auto"/>
              <w:bottom w:val="single" w:sz="4" w:space="0" w:color="auto"/>
              <w:right w:val="single" w:sz="4" w:space="0" w:color="auto"/>
            </w:tcBorders>
            <w:hideMark/>
          </w:tcPr>
          <w:p w14:paraId="75D1944F" w14:textId="77777777" w:rsidR="005608B2" w:rsidRPr="009C5FDC" w:rsidRDefault="005608B2" w:rsidP="00B35622">
            <w:pPr>
              <w:jc w:val="both"/>
              <w:rPr>
                <w:rFonts w:eastAsia="Calibri"/>
                <w:b/>
              </w:rPr>
            </w:pPr>
            <w:r w:rsidRPr="009C5FDC">
              <w:rPr>
                <w:rFonts w:eastAsia="Calibri"/>
                <w:b/>
              </w:rPr>
              <w:t>50</w:t>
            </w:r>
          </w:p>
        </w:tc>
      </w:tr>
    </w:tbl>
    <w:p w14:paraId="576A6DFD" w14:textId="2958A168" w:rsidR="00171892" w:rsidRDefault="00171892" w:rsidP="009A78FC">
      <w:pPr>
        <w:jc w:val="both"/>
        <w:rPr>
          <w:rFonts w:eastAsia="MS Minch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47"/>
      </w:tblGrid>
      <w:tr w:rsidR="00872B7F" w:rsidRPr="009A78FC" w14:paraId="543F5C17"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2E6F8394" w14:textId="77777777" w:rsidR="00872B7F" w:rsidRPr="009C5FDC" w:rsidRDefault="00872B7F" w:rsidP="00872B7F">
            <w:pPr>
              <w:spacing w:line="360" w:lineRule="auto"/>
              <w:jc w:val="both"/>
              <w:rPr>
                <w:rFonts w:eastAsia="Calibri"/>
                <w:b/>
              </w:rPr>
            </w:pPr>
            <w:r w:rsidRPr="009C5FDC">
              <w:rPr>
                <w:rFonts w:eastAsia="Calibri"/>
                <w:b/>
              </w:rPr>
              <w:t>Evaluation de la soumission technique</w:t>
            </w:r>
          </w:p>
          <w:p w14:paraId="07178595" w14:textId="77777777" w:rsidR="00872B7F" w:rsidRPr="009C5FDC" w:rsidRDefault="00872B7F" w:rsidP="00872B7F">
            <w:pPr>
              <w:spacing w:line="360" w:lineRule="auto"/>
              <w:jc w:val="both"/>
              <w:rPr>
                <w:rFonts w:eastAsia="Calibri"/>
                <w:b/>
              </w:rPr>
            </w:pPr>
            <w:r w:rsidRPr="009C5FDC">
              <w:rPr>
                <w:rFonts w:eastAsia="Calibri"/>
                <w:b/>
              </w:rPr>
              <w:t>Formulaire 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C6C5D2D" w14:textId="77777777" w:rsidR="00872B7F" w:rsidRPr="009C5FDC" w:rsidRDefault="00872B7F" w:rsidP="00872B7F">
            <w:pPr>
              <w:spacing w:line="360" w:lineRule="auto"/>
              <w:jc w:val="both"/>
              <w:rPr>
                <w:rFonts w:eastAsia="Calibri"/>
                <w:b/>
              </w:rPr>
            </w:pPr>
            <w:r w:rsidRPr="009C5FDC">
              <w:rPr>
                <w:rFonts w:eastAsia="Calibri"/>
                <w:b/>
              </w:rPr>
              <w:t>Points maximum</w:t>
            </w:r>
          </w:p>
        </w:tc>
      </w:tr>
      <w:tr w:rsidR="00872B7F" w:rsidRPr="009A78FC" w14:paraId="79A253BF" w14:textId="77777777" w:rsidTr="00872B7F">
        <w:tc>
          <w:tcPr>
            <w:tcW w:w="807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DBCC8E8" w14:textId="5CCA3689" w:rsidR="00872B7F" w:rsidRPr="009C5FDC" w:rsidRDefault="00872B7F" w:rsidP="00872B7F">
            <w:pPr>
              <w:spacing w:line="360" w:lineRule="auto"/>
              <w:jc w:val="both"/>
              <w:rPr>
                <w:rFonts w:eastAsia="Calibri"/>
                <w:b/>
              </w:rPr>
            </w:pPr>
            <w:r w:rsidRPr="009C5FDC">
              <w:rPr>
                <w:rFonts w:eastAsia="Calibri"/>
                <w:b/>
              </w:rPr>
              <w:t xml:space="preserve">Experts </w:t>
            </w:r>
            <w:r w:rsidR="00330C2C" w:rsidRPr="009C5FDC">
              <w:rPr>
                <w:rFonts w:eastAsia="Calibri"/>
                <w:b/>
              </w:rPr>
              <w:t>proposé</w:t>
            </w:r>
            <w:r w:rsidR="00330C2C">
              <w:rPr>
                <w:rFonts w:eastAsia="Calibri"/>
                <w:b/>
              </w:rPr>
              <w:t>s</w:t>
            </w:r>
          </w:p>
        </w:tc>
        <w:tc>
          <w:tcPr>
            <w:tcW w:w="1247"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6E742AFE" w14:textId="77777777" w:rsidR="00872B7F" w:rsidRPr="009C5FDC" w:rsidRDefault="00872B7F" w:rsidP="00872B7F">
            <w:pPr>
              <w:spacing w:line="360" w:lineRule="auto"/>
              <w:jc w:val="both"/>
              <w:rPr>
                <w:rFonts w:eastAsia="Calibri"/>
                <w:b/>
              </w:rPr>
            </w:pPr>
            <w:r w:rsidRPr="009C5FDC">
              <w:rPr>
                <w:rFonts w:eastAsia="Calibri"/>
                <w:b/>
              </w:rPr>
              <w:t>400</w:t>
            </w:r>
          </w:p>
        </w:tc>
      </w:tr>
      <w:tr w:rsidR="00872B7F" w:rsidRPr="009A78FC" w14:paraId="5CEC01D3" w14:textId="77777777" w:rsidTr="00872B7F">
        <w:tc>
          <w:tcPr>
            <w:tcW w:w="807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92F4B2" w14:textId="2B1669BE" w:rsidR="00872B7F" w:rsidRPr="009C5FDC" w:rsidRDefault="00691978" w:rsidP="00872B7F">
            <w:pPr>
              <w:spacing w:line="360" w:lineRule="auto"/>
              <w:jc w:val="both"/>
              <w:rPr>
                <w:rFonts w:eastAsia="Calibri"/>
                <w:b/>
              </w:rPr>
            </w:pPr>
            <w:r>
              <w:rPr>
                <w:b/>
                <w:sz w:val="24"/>
                <w:szCs w:val="24"/>
                <w:lang w:eastAsia="fr-FR"/>
              </w:rPr>
              <w:t xml:space="preserve">Expert </w:t>
            </w:r>
            <w:r w:rsidR="00F00F4F">
              <w:rPr>
                <w:b/>
                <w:sz w:val="24"/>
                <w:szCs w:val="24"/>
                <w:lang w:eastAsia="fr-FR"/>
              </w:rPr>
              <w:t xml:space="preserve">international </w:t>
            </w:r>
            <w:r>
              <w:rPr>
                <w:b/>
                <w:sz w:val="24"/>
                <w:szCs w:val="24"/>
                <w:lang w:eastAsia="fr-FR"/>
              </w:rPr>
              <w:t>en</w:t>
            </w:r>
            <w:r w:rsidRPr="00B84B28">
              <w:rPr>
                <w:b/>
                <w:sz w:val="24"/>
                <w:szCs w:val="24"/>
                <w:lang w:eastAsia="fr-FR"/>
              </w:rPr>
              <w:t xml:space="preserve"> changements climatiques</w:t>
            </w:r>
            <w:r>
              <w:rPr>
                <w:b/>
                <w:sz w:val="24"/>
                <w:szCs w:val="24"/>
                <w:lang w:eastAsia="fr-FR"/>
              </w:rPr>
              <w:t xml:space="preserve">/politique d’atténuation dans le secteur de l’énergie, </w:t>
            </w:r>
            <w:r w:rsidRPr="009C6748">
              <w:rPr>
                <w:b/>
                <w:sz w:val="24"/>
                <w:szCs w:val="24"/>
                <w:u w:val="single"/>
                <w:lang w:eastAsia="fr-FR"/>
              </w:rPr>
              <w:t>chef/</w:t>
            </w:r>
            <w:proofErr w:type="spellStart"/>
            <w:r w:rsidRPr="009C6748">
              <w:rPr>
                <w:b/>
                <w:sz w:val="24"/>
                <w:szCs w:val="24"/>
                <w:u w:val="single"/>
                <w:lang w:eastAsia="fr-FR"/>
              </w:rPr>
              <w:t>fe</w:t>
            </w:r>
            <w:proofErr w:type="spellEnd"/>
            <w:r w:rsidRPr="009C6748">
              <w:rPr>
                <w:b/>
                <w:sz w:val="24"/>
                <w:szCs w:val="24"/>
                <w:u w:val="single"/>
                <w:lang w:eastAsia="fr-FR"/>
              </w:rPr>
              <w:t xml:space="preserve"> de file</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C20950" w14:textId="1D3A68FF" w:rsidR="00872B7F" w:rsidRPr="009C5FDC" w:rsidRDefault="00B05F60" w:rsidP="00872B7F">
            <w:pPr>
              <w:spacing w:line="360" w:lineRule="auto"/>
              <w:jc w:val="both"/>
              <w:rPr>
                <w:rFonts w:eastAsia="Calibri"/>
                <w:b/>
              </w:rPr>
            </w:pPr>
            <w:r>
              <w:rPr>
                <w:rFonts w:eastAsia="Calibri"/>
                <w:b/>
              </w:rPr>
              <w:t>190</w:t>
            </w:r>
          </w:p>
        </w:tc>
      </w:tr>
      <w:tr w:rsidR="00872B7F" w:rsidRPr="009A78FC" w14:paraId="585E1BEC"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650EEB98" w14:textId="676214C9" w:rsidR="00872B7F" w:rsidRPr="00872B7F" w:rsidRDefault="00700F05" w:rsidP="00872B7F">
            <w:pPr>
              <w:spacing w:line="360" w:lineRule="auto"/>
              <w:jc w:val="both"/>
              <w:rPr>
                <w:rFonts w:eastAsia="Calibri"/>
                <w:b/>
              </w:rPr>
            </w:pPr>
            <w:r w:rsidRPr="007E6266">
              <w:rPr>
                <w:sz w:val="24"/>
                <w:szCs w:val="24"/>
                <w:lang w:eastAsia="fr-FR"/>
              </w:rPr>
              <w:t>Expérience professionnelle</w:t>
            </w:r>
            <w:r>
              <w:rPr>
                <w:sz w:val="24"/>
                <w:szCs w:val="24"/>
                <w:lang w:eastAsia="fr-FR"/>
              </w:rPr>
              <w:t xml:space="preserve"> de 10 ans</w:t>
            </w:r>
            <w:r w:rsidRPr="007E6266">
              <w:rPr>
                <w:sz w:val="24"/>
                <w:szCs w:val="24"/>
                <w:lang w:eastAsia="fr-FR"/>
              </w:rPr>
              <w:t xml:space="preserve"> en matière de politique d’atténuation dans le secteur de </w:t>
            </w:r>
            <w:r w:rsidR="008418EA" w:rsidRPr="007E6266">
              <w:rPr>
                <w:sz w:val="24"/>
                <w:szCs w:val="24"/>
                <w:lang w:eastAsia="fr-FR"/>
              </w:rPr>
              <w:t>l’énergie</w:t>
            </w:r>
            <w:r w:rsidR="008418EA" w:rsidRPr="00872B7F">
              <w:rPr>
                <w:rFonts w:eastAsia="Calibri"/>
                <w:b/>
              </w:rPr>
              <w:t xml:space="preserve"> :</w:t>
            </w:r>
          </w:p>
          <w:p w14:paraId="08710E4C" w14:textId="77777777"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Moins de 5 ans : 0 point</w:t>
            </w:r>
          </w:p>
          <w:p w14:paraId="743E388C" w14:textId="64DAAF7D"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Entre 5 et 10 ans : 1</w:t>
            </w:r>
            <w:r w:rsidR="00061F5F">
              <w:rPr>
                <w:rFonts w:eastAsia="Calibri"/>
                <w:bCs/>
                <w:sz w:val="24"/>
                <w:szCs w:val="24"/>
              </w:rPr>
              <w:t>0</w:t>
            </w:r>
            <w:r w:rsidRPr="006966F7">
              <w:rPr>
                <w:rFonts w:eastAsia="Calibri"/>
                <w:bCs/>
                <w:sz w:val="24"/>
                <w:szCs w:val="24"/>
              </w:rPr>
              <w:t xml:space="preserve"> points</w:t>
            </w:r>
          </w:p>
          <w:p w14:paraId="120C42E1" w14:textId="77777777" w:rsidR="00872B7F" w:rsidRPr="009C5FDC" w:rsidRDefault="00872B7F" w:rsidP="00BD456A">
            <w:pPr>
              <w:pStyle w:val="Paragraphedeliste"/>
              <w:numPr>
                <w:ilvl w:val="0"/>
                <w:numId w:val="22"/>
              </w:numPr>
              <w:spacing w:line="360" w:lineRule="auto"/>
              <w:jc w:val="both"/>
              <w:rPr>
                <w:rFonts w:eastAsia="Calibri"/>
                <w:b/>
              </w:rPr>
            </w:pPr>
            <w:r w:rsidRPr="006966F7">
              <w:rPr>
                <w:rFonts w:eastAsia="Calibri"/>
                <w:bCs/>
                <w:sz w:val="24"/>
                <w:szCs w:val="24"/>
              </w:rPr>
              <w:t>11 ans et plus : 20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B6E7A7E" w14:textId="348B38BC" w:rsidR="00872B7F" w:rsidRPr="009C5FDC" w:rsidRDefault="00462843" w:rsidP="00872B7F">
            <w:pPr>
              <w:spacing w:line="360" w:lineRule="auto"/>
              <w:jc w:val="both"/>
              <w:rPr>
                <w:rFonts w:eastAsia="Calibri"/>
                <w:b/>
              </w:rPr>
            </w:pPr>
            <w:r>
              <w:rPr>
                <w:rFonts w:eastAsia="Calibri"/>
                <w:b/>
              </w:rPr>
              <w:t>2</w:t>
            </w:r>
            <w:r w:rsidR="00872B7F" w:rsidRPr="009C5FDC">
              <w:rPr>
                <w:rFonts w:eastAsia="Calibri"/>
                <w:b/>
              </w:rPr>
              <w:t>0</w:t>
            </w:r>
          </w:p>
        </w:tc>
      </w:tr>
      <w:tr w:rsidR="00872B7F" w:rsidRPr="009A78FC" w14:paraId="4BEACFE4"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2D621928" w14:textId="7ED1BA29" w:rsidR="00872B7F" w:rsidRPr="00872B7F" w:rsidRDefault="00B543AA" w:rsidP="00872B7F">
            <w:pPr>
              <w:spacing w:line="360" w:lineRule="auto"/>
              <w:jc w:val="both"/>
              <w:rPr>
                <w:rFonts w:eastAsia="Calibri"/>
                <w:b/>
              </w:rPr>
            </w:pPr>
            <w:r w:rsidRPr="007E6266">
              <w:rPr>
                <w:sz w:val="24"/>
                <w:szCs w:val="24"/>
                <w:lang w:eastAsia="fr-FR"/>
              </w:rPr>
              <w:t>Références</w:t>
            </w:r>
            <w:r w:rsidR="00CC0156">
              <w:rPr>
                <w:rStyle w:val="Appelnotedebasdep"/>
                <w:sz w:val="24"/>
                <w:szCs w:val="24"/>
                <w:lang w:eastAsia="fr-FR"/>
              </w:rPr>
              <w:footnoteReference w:id="3"/>
            </w:r>
            <w:r w:rsidRPr="007E6266">
              <w:rPr>
                <w:sz w:val="24"/>
                <w:szCs w:val="24"/>
                <w:lang w:eastAsia="fr-FR"/>
              </w:rPr>
              <w:t xml:space="preserve"> dans l’élaboration des politiques d’atténuation des émissions de GES dans le secteur de l’énergie</w:t>
            </w:r>
            <w:r>
              <w:rPr>
                <w:sz w:val="24"/>
                <w:szCs w:val="24"/>
                <w:lang w:eastAsia="fr-FR"/>
              </w:rPr>
              <w:t xml:space="preserve">, y compris les études </w:t>
            </w:r>
            <w:r w:rsidR="00693194">
              <w:rPr>
                <w:sz w:val="24"/>
                <w:szCs w:val="24"/>
                <w:lang w:eastAsia="fr-FR"/>
              </w:rPr>
              <w:t>prospectives</w:t>
            </w:r>
            <w:r w:rsidR="00693194" w:rsidRPr="00872B7F">
              <w:rPr>
                <w:rFonts w:eastAsia="Calibri"/>
                <w:b/>
              </w:rPr>
              <w:t xml:space="preserve"> :</w:t>
            </w:r>
          </w:p>
          <w:p w14:paraId="276BE701" w14:textId="77777777"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Aucune référence : 0 point</w:t>
            </w:r>
          </w:p>
          <w:p w14:paraId="7189D22C" w14:textId="60116711"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 xml:space="preserve">Entre 1 et </w:t>
            </w:r>
            <w:r w:rsidR="00BB5414" w:rsidRPr="006966F7">
              <w:rPr>
                <w:rFonts w:eastAsia="Calibri"/>
                <w:bCs/>
                <w:sz w:val="24"/>
                <w:szCs w:val="24"/>
              </w:rPr>
              <w:t>5</w:t>
            </w:r>
            <w:r w:rsidRPr="006966F7">
              <w:rPr>
                <w:rFonts w:eastAsia="Calibri"/>
                <w:bCs/>
                <w:sz w:val="24"/>
                <w:szCs w:val="24"/>
              </w:rPr>
              <w:t xml:space="preserve"> références : </w:t>
            </w:r>
            <w:r w:rsidR="00B82FFF">
              <w:rPr>
                <w:rFonts w:eastAsia="Calibri"/>
                <w:bCs/>
                <w:sz w:val="24"/>
                <w:szCs w:val="24"/>
              </w:rPr>
              <w:t>3</w:t>
            </w:r>
            <w:r w:rsidR="004058C9">
              <w:rPr>
                <w:rFonts w:eastAsia="Calibri"/>
                <w:bCs/>
                <w:sz w:val="24"/>
                <w:szCs w:val="24"/>
              </w:rPr>
              <w:t>0</w:t>
            </w:r>
            <w:r w:rsidRPr="006966F7">
              <w:rPr>
                <w:rFonts w:eastAsia="Calibri"/>
                <w:bCs/>
                <w:sz w:val="24"/>
                <w:szCs w:val="24"/>
              </w:rPr>
              <w:t xml:space="preserve"> points</w:t>
            </w:r>
          </w:p>
          <w:p w14:paraId="4F50E6C2" w14:textId="16ABF176" w:rsidR="00872B7F" w:rsidRPr="006966F7" w:rsidRDefault="00BB5414" w:rsidP="00BD456A">
            <w:pPr>
              <w:pStyle w:val="Paragraphedeliste"/>
              <w:numPr>
                <w:ilvl w:val="0"/>
                <w:numId w:val="22"/>
              </w:numPr>
              <w:spacing w:line="360" w:lineRule="auto"/>
              <w:jc w:val="both"/>
              <w:rPr>
                <w:rFonts w:eastAsia="Calibri"/>
                <w:b/>
              </w:rPr>
            </w:pPr>
            <w:r w:rsidRPr="006966F7">
              <w:rPr>
                <w:rFonts w:eastAsia="Calibri"/>
                <w:bCs/>
                <w:sz w:val="24"/>
                <w:szCs w:val="24"/>
              </w:rPr>
              <w:t>6</w:t>
            </w:r>
            <w:r w:rsidR="00872B7F" w:rsidRPr="006966F7">
              <w:rPr>
                <w:rFonts w:eastAsia="Calibri"/>
                <w:bCs/>
                <w:sz w:val="24"/>
                <w:szCs w:val="24"/>
              </w:rPr>
              <w:t xml:space="preserve"> références et plus : </w:t>
            </w:r>
            <w:r w:rsidR="004058C9">
              <w:rPr>
                <w:rFonts w:eastAsia="Calibri"/>
                <w:bCs/>
                <w:sz w:val="24"/>
                <w:szCs w:val="24"/>
              </w:rPr>
              <w:t>7</w:t>
            </w:r>
            <w:r w:rsidR="00872B7F" w:rsidRPr="006966F7">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DB17538" w14:textId="5D5B0020" w:rsidR="00872B7F" w:rsidRPr="009C5FDC" w:rsidRDefault="003A7C62" w:rsidP="00872B7F">
            <w:pPr>
              <w:spacing w:line="360" w:lineRule="auto"/>
              <w:jc w:val="both"/>
              <w:rPr>
                <w:rFonts w:eastAsia="Calibri"/>
                <w:b/>
              </w:rPr>
            </w:pPr>
            <w:r>
              <w:rPr>
                <w:rFonts w:eastAsia="Calibri"/>
                <w:b/>
              </w:rPr>
              <w:t>7</w:t>
            </w:r>
            <w:r w:rsidR="00872B7F" w:rsidRPr="009C5FDC">
              <w:rPr>
                <w:rFonts w:eastAsia="Calibri"/>
                <w:b/>
              </w:rPr>
              <w:t>0</w:t>
            </w:r>
          </w:p>
        </w:tc>
      </w:tr>
      <w:tr w:rsidR="006D4654" w:rsidRPr="009A78FC" w14:paraId="491F4E81" w14:textId="77777777" w:rsidTr="00872B7F">
        <w:tc>
          <w:tcPr>
            <w:tcW w:w="8075" w:type="dxa"/>
            <w:tcBorders>
              <w:top w:val="single" w:sz="4" w:space="0" w:color="auto"/>
              <w:left w:val="single" w:sz="4" w:space="0" w:color="auto"/>
              <w:bottom w:val="single" w:sz="4" w:space="0" w:color="auto"/>
              <w:right w:val="single" w:sz="4" w:space="0" w:color="auto"/>
            </w:tcBorders>
            <w:vAlign w:val="center"/>
          </w:tcPr>
          <w:p w14:paraId="7A56290C" w14:textId="62FA5394" w:rsidR="006D4654" w:rsidRDefault="006D4654" w:rsidP="00872B7F">
            <w:pPr>
              <w:spacing w:line="360" w:lineRule="auto"/>
              <w:jc w:val="both"/>
              <w:rPr>
                <w:sz w:val="24"/>
                <w:szCs w:val="24"/>
                <w:lang w:eastAsia="fr-FR"/>
              </w:rPr>
            </w:pPr>
            <w:r w:rsidRPr="007E6266">
              <w:rPr>
                <w:sz w:val="24"/>
                <w:szCs w:val="24"/>
                <w:lang w:eastAsia="fr-FR"/>
              </w:rPr>
              <w:t>Références dans l’élaboration des politiques d’atténuation des émissions de GES dans</w:t>
            </w:r>
            <w:r>
              <w:rPr>
                <w:sz w:val="24"/>
                <w:szCs w:val="24"/>
                <w:lang w:eastAsia="fr-FR"/>
              </w:rPr>
              <w:t xml:space="preserve"> d’autres secteurs pertinentes (industrie, </w:t>
            </w:r>
            <w:r w:rsidR="003C71FE">
              <w:rPr>
                <w:sz w:val="24"/>
                <w:szCs w:val="24"/>
                <w:lang w:eastAsia="fr-FR"/>
              </w:rPr>
              <w:t>déchet.</w:t>
            </w:r>
            <w:r>
              <w:rPr>
                <w:sz w:val="24"/>
                <w:szCs w:val="24"/>
                <w:lang w:eastAsia="fr-FR"/>
              </w:rPr>
              <w:t>)</w:t>
            </w:r>
          </w:p>
          <w:p w14:paraId="5671B3F5" w14:textId="77777777" w:rsidR="006D4654" w:rsidRPr="00F47312" w:rsidRDefault="006D4654"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Aucune référence : 0 point</w:t>
            </w:r>
          </w:p>
          <w:p w14:paraId="6311AEEB" w14:textId="2166FB58" w:rsidR="006D4654" w:rsidRPr="00F47312" w:rsidRDefault="006D4654"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 xml:space="preserve">Entre 1 et </w:t>
            </w:r>
            <w:r w:rsidR="00EE7020">
              <w:rPr>
                <w:rFonts w:eastAsia="Calibri"/>
                <w:bCs/>
                <w:sz w:val="24"/>
                <w:szCs w:val="24"/>
              </w:rPr>
              <w:t>3</w:t>
            </w:r>
            <w:r w:rsidRPr="00F47312">
              <w:rPr>
                <w:rFonts w:eastAsia="Calibri"/>
                <w:bCs/>
                <w:sz w:val="24"/>
                <w:szCs w:val="24"/>
              </w:rPr>
              <w:t xml:space="preserve"> références : </w:t>
            </w:r>
            <w:r w:rsidR="007161FA">
              <w:rPr>
                <w:rFonts w:eastAsia="Calibri"/>
                <w:bCs/>
                <w:sz w:val="24"/>
                <w:szCs w:val="24"/>
              </w:rPr>
              <w:t>15</w:t>
            </w:r>
            <w:r w:rsidRPr="00F47312">
              <w:rPr>
                <w:rFonts w:eastAsia="Calibri"/>
                <w:bCs/>
                <w:sz w:val="24"/>
                <w:szCs w:val="24"/>
              </w:rPr>
              <w:t xml:space="preserve"> points</w:t>
            </w:r>
          </w:p>
          <w:p w14:paraId="3A5A8BCC" w14:textId="5F231F5C" w:rsidR="006D4654" w:rsidRDefault="00EE7020" w:rsidP="00BD456A">
            <w:pPr>
              <w:pStyle w:val="Paragraphedeliste"/>
              <w:numPr>
                <w:ilvl w:val="0"/>
                <w:numId w:val="22"/>
              </w:numPr>
              <w:spacing w:line="360" w:lineRule="auto"/>
              <w:jc w:val="both"/>
              <w:rPr>
                <w:sz w:val="24"/>
                <w:szCs w:val="24"/>
                <w:lang w:eastAsia="fr-FR"/>
              </w:rPr>
            </w:pPr>
            <w:r>
              <w:rPr>
                <w:rFonts w:eastAsia="Calibri"/>
                <w:bCs/>
                <w:sz w:val="24"/>
                <w:szCs w:val="24"/>
              </w:rPr>
              <w:t>4</w:t>
            </w:r>
            <w:r w:rsidR="006D4654" w:rsidRPr="00F47312">
              <w:rPr>
                <w:rFonts w:eastAsia="Calibri"/>
                <w:bCs/>
                <w:sz w:val="24"/>
                <w:szCs w:val="24"/>
              </w:rPr>
              <w:t xml:space="preserve"> références et plus : </w:t>
            </w:r>
            <w:r w:rsidR="00B47F53">
              <w:rPr>
                <w:rFonts w:eastAsia="Calibri"/>
                <w:bCs/>
                <w:sz w:val="24"/>
                <w:szCs w:val="24"/>
              </w:rPr>
              <w:t>4</w:t>
            </w:r>
            <w:r w:rsidR="006D4654" w:rsidRPr="00F47312">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tcPr>
          <w:p w14:paraId="3EB1E15C" w14:textId="683DB43B" w:rsidR="006D4654" w:rsidRDefault="00D37096" w:rsidP="00872B7F">
            <w:pPr>
              <w:spacing w:line="360" w:lineRule="auto"/>
              <w:jc w:val="both"/>
              <w:rPr>
                <w:rFonts w:eastAsia="Calibri"/>
                <w:b/>
              </w:rPr>
            </w:pPr>
            <w:r>
              <w:rPr>
                <w:rFonts w:eastAsia="Calibri"/>
                <w:b/>
              </w:rPr>
              <w:t>4</w:t>
            </w:r>
            <w:r w:rsidR="007161FA">
              <w:rPr>
                <w:rFonts w:eastAsia="Calibri"/>
                <w:b/>
              </w:rPr>
              <w:t>0</w:t>
            </w:r>
          </w:p>
        </w:tc>
      </w:tr>
      <w:tr w:rsidR="00872B7F" w:rsidRPr="009A78FC" w14:paraId="6060CC17"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3586321D" w14:textId="38653460" w:rsidR="00A91AE1" w:rsidRDefault="00A91AE1" w:rsidP="00872B7F">
            <w:pPr>
              <w:spacing w:line="360" w:lineRule="auto"/>
              <w:jc w:val="both"/>
              <w:rPr>
                <w:rFonts w:eastAsia="Calibri"/>
                <w:b/>
              </w:rPr>
            </w:pPr>
            <w:r>
              <w:rPr>
                <w:sz w:val="24"/>
                <w:szCs w:val="24"/>
                <w:lang w:eastAsia="fr-FR"/>
              </w:rPr>
              <w:t>Reference dans l</w:t>
            </w:r>
            <w:r w:rsidR="0035064F">
              <w:rPr>
                <w:sz w:val="24"/>
                <w:szCs w:val="24"/>
                <w:lang w:eastAsia="fr-FR"/>
              </w:rPr>
              <w:t>’appui à l</w:t>
            </w:r>
            <w:r>
              <w:rPr>
                <w:sz w:val="24"/>
                <w:szCs w:val="24"/>
                <w:lang w:eastAsia="fr-FR"/>
              </w:rPr>
              <w:t xml:space="preserve">a mise en œuvre de l’Accord de Paris en </w:t>
            </w:r>
            <w:r w:rsidR="003C71FE">
              <w:rPr>
                <w:sz w:val="24"/>
                <w:szCs w:val="24"/>
                <w:lang w:eastAsia="fr-FR"/>
              </w:rPr>
              <w:t>général</w:t>
            </w:r>
            <w:r>
              <w:rPr>
                <w:sz w:val="24"/>
                <w:szCs w:val="24"/>
                <w:lang w:eastAsia="fr-FR"/>
              </w:rPr>
              <w:t xml:space="preserve"> et l’élaboration de la CDN en particulier</w:t>
            </w:r>
            <w:r w:rsidR="00FA228E">
              <w:rPr>
                <w:sz w:val="24"/>
                <w:szCs w:val="24"/>
                <w:lang w:eastAsia="fr-FR"/>
              </w:rPr>
              <w:t> :</w:t>
            </w:r>
            <w:r>
              <w:rPr>
                <w:sz w:val="24"/>
                <w:szCs w:val="24"/>
                <w:lang w:eastAsia="fr-FR"/>
              </w:rPr>
              <w:t> </w:t>
            </w:r>
            <w:r w:rsidRPr="00872B7F">
              <w:rPr>
                <w:rFonts w:eastAsia="Calibri"/>
                <w:b/>
              </w:rPr>
              <w:t xml:space="preserve"> </w:t>
            </w:r>
          </w:p>
          <w:p w14:paraId="5EB75922" w14:textId="27CE6F07"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Aucune référence : 0 point</w:t>
            </w:r>
          </w:p>
          <w:p w14:paraId="3AE36084" w14:textId="0720B7AD"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 xml:space="preserve">Entre 1 et </w:t>
            </w:r>
            <w:r w:rsidR="00145FCF">
              <w:rPr>
                <w:rFonts w:eastAsia="Calibri"/>
                <w:bCs/>
                <w:sz w:val="24"/>
                <w:szCs w:val="24"/>
              </w:rPr>
              <w:t>3</w:t>
            </w:r>
            <w:r w:rsidRPr="006966F7">
              <w:rPr>
                <w:rFonts w:eastAsia="Calibri"/>
                <w:bCs/>
                <w:sz w:val="24"/>
                <w:szCs w:val="24"/>
              </w:rPr>
              <w:t xml:space="preserve"> références : 2</w:t>
            </w:r>
            <w:r w:rsidR="00ED1E41">
              <w:rPr>
                <w:rFonts w:eastAsia="Calibri"/>
                <w:bCs/>
                <w:sz w:val="24"/>
                <w:szCs w:val="24"/>
              </w:rPr>
              <w:t>0</w:t>
            </w:r>
            <w:r w:rsidRPr="006966F7">
              <w:rPr>
                <w:rFonts w:eastAsia="Calibri"/>
                <w:bCs/>
                <w:sz w:val="24"/>
                <w:szCs w:val="24"/>
              </w:rPr>
              <w:t xml:space="preserve"> points</w:t>
            </w:r>
          </w:p>
          <w:p w14:paraId="3FFA88C3" w14:textId="0D33187B" w:rsidR="00872B7F" w:rsidRPr="00872B7F" w:rsidRDefault="00385336" w:rsidP="00BD456A">
            <w:pPr>
              <w:pStyle w:val="Paragraphedeliste"/>
              <w:numPr>
                <w:ilvl w:val="0"/>
                <w:numId w:val="22"/>
              </w:numPr>
              <w:spacing w:line="360" w:lineRule="auto"/>
              <w:jc w:val="both"/>
              <w:rPr>
                <w:rFonts w:eastAsia="Calibri"/>
                <w:b/>
              </w:rPr>
            </w:pPr>
            <w:r>
              <w:rPr>
                <w:rFonts w:eastAsia="Calibri"/>
                <w:bCs/>
                <w:sz w:val="24"/>
                <w:szCs w:val="24"/>
              </w:rPr>
              <w:t>4</w:t>
            </w:r>
            <w:r w:rsidR="00872B7F" w:rsidRPr="006966F7">
              <w:rPr>
                <w:rFonts w:eastAsia="Calibri"/>
                <w:bCs/>
                <w:sz w:val="24"/>
                <w:szCs w:val="24"/>
              </w:rPr>
              <w:t xml:space="preserve"> références et plus : </w:t>
            </w:r>
            <w:r w:rsidR="00ED1E41">
              <w:rPr>
                <w:rFonts w:eastAsia="Calibri"/>
                <w:bCs/>
                <w:sz w:val="24"/>
                <w:szCs w:val="24"/>
              </w:rPr>
              <w:t>4</w:t>
            </w:r>
            <w:r w:rsidR="00872B7F" w:rsidRPr="006966F7">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95D6E65" w14:textId="7C3ED5BC" w:rsidR="00872B7F" w:rsidRPr="009C5FDC" w:rsidRDefault="00ED1E41" w:rsidP="00872B7F">
            <w:pPr>
              <w:spacing w:line="360" w:lineRule="auto"/>
              <w:jc w:val="both"/>
              <w:rPr>
                <w:rFonts w:eastAsia="Calibri"/>
                <w:b/>
              </w:rPr>
            </w:pPr>
            <w:r>
              <w:rPr>
                <w:rFonts w:eastAsia="Calibri"/>
                <w:b/>
              </w:rPr>
              <w:t>4</w:t>
            </w:r>
            <w:r w:rsidR="00872B7F" w:rsidRPr="009C5FDC">
              <w:rPr>
                <w:rFonts w:eastAsia="Calibri"/>
                <w:b/>
              </w:rPr>
              <w:t>0</w:t>
            </w:r>
          </w:p>
        </w:tc>
      </w:tr>
      <w:tr w:rsidR="001B45CB" w:rsidRPr="009A78FC" w14:paraId="6E1A1485" w14:textId="77777777" w:rsidTr="00872B7F">
        <w:tc>
          <w:tcPr>
            <w:tcW w:w="8075" w:type="dxa"/>
            <w:tcBorders>
              <w:top w:val="single" w:sz="4" w:space="0" w:color="auto"/>
              <w:left w:val="single" w:sz="4" w:space="0" w:color="auto"/>
              <w:bottom w:val="single" w:sz="4" w:space="0" w:color="auto"/>
              <w:right w:val="single" w:sz="4" w:space="0" w:color="auto"/>
            </w:tcBorders>
            <w:vAlign w:val="center"/>
          </w:tcPr>
          <w:p w14:paraId="271E1600" w14:textId="08545486" w:rsidR="001B45CB" w:rsidRDefault="008F5F57" w:rsidP="00872B7F">
            <w:pPr>
              <w:spacing w:line="360" w:lineRule="auto"/>
              <w:jc w:val="both"/>
              <w:rPr>
                <w:sz w:val="24"/>
                <w:szCs w:val="24"/>
                <w:lang w:eastAsia="fr-FR"/>
              </w:rPr>
            </w:pPr>
            <w:r>
              <w:rPr>
                <w:sz w:val="24"/>
                <w:szCs w:val="24"/>
                <w:lang w:eastAsia="fr-FR"/>
              </w:rPr>
              <w:t xml:space="preserve">Reference dans les pays de l’Afrique de l’Ouest et/ou la </w:t>
            </w:r>
            <w:r w:rsidR="0002245C">
              <w:rPr>
                <w:sz w:val="24"/>
                <w:szCs w:val="24"/>
                <w:lang w:eastAsia="fr-FR"/>
              </w:rPr>
              <w:t>Guinée</w:t>
            </w:r>
            <w:r>
              <w:rPr>
                <w:sz w:val="24"/>
                <w:szCs w:val="24"/>
                <w:lang w:eastAsia="fr-FR"/>
              </w:rPr>
              <w:t xml:space="preserve"> Bissau</w:t>
            </w:r>
          </w:p>
          <w:p w14:paraId="483EB6A5" w14:textId="77777777" w:rsidR="008F5F57" w:rsidRPr="00F47312" w:rsidRDefault="008F5F57"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Aucune référence : 0 point</w:t>
            </w:r>
          </w:p>
          <w:p w14:paraId="28F1BE12" w14:textId="34C76492" w:rsidR="008F5F57" w:rsidRPr="00F47312" w:rsidRDefault="008F5F57"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 xml:space="preserve">Entre 1 et </w:t>
            </w:r>
            <w:r>
              <w:rPr>
                <w:rFonts w:eastAsia="Calibri"/>
                <w:bCs/>
                <w:sz w:val="24"/>
                <w:szCs w:val="24"/>
              </w:rPr>
              <w:t>3</w:t>
            </w:r>
            <w:r w:rsidRPr="00F47312">
              <w:rPr>
                <w:rFonts w:eastAsia="Calibri"/>
                <w:bCs/>
                <w:sz w:val="24"/>
                <w:szCs w:val="24"/>
              </w:rPr>
              <w:t xml:space="preserve"> références :</w:t>
            </w:r>
            <w:r>
              <w:rPr>
                <w:rFonts w:eastAsia="Calibri"/>
                <w:bCs/>
                <w:sz w:val="24"/>
                <w:szCs w:val="24"/>
              </w:rPr>
              <w:t xml:space="preserve"> 10</w:t>
            </w:r>
            <w:r w:rsidRPr="00F47312">
              <w:rPr>
                <w:rFonts w:eastAsia="Calibri"/>
                <w:bCs/>
                <w:sz w:val="24"/>
                <w:szCs w:val="24"/>
              </w:rPr>
              <w:t xml:space="preserve"> points</w:t>
            </w:r>
          </w:p>
          <w:p w14:paraId="18DDD206" w14:textId="5BA20F42" w:rsidR="008F5F57" w:rsidRDefault="008F5F57" w:rsidP="00BD456A">
            <w:pPr>
              <w:pStyle w:val="Paragraphedeliste"/>
              <w:numPr>
                <w:ilvl w:val="0"/>
                <w:numId w:val="22"/>
              </w:numPr>
              <w:spacing w:line="360" w:lineRule="auto"/>
              <w:jc w:val="both"/>
              <w:rPr>
                <w:sz w:val="24"/>
                <w:szCs w:val="24"/>
                <w:lang w:eastAsia="fr-FR"/>
              </w:rPr>
            </w:pPr>
            <w:r>
              <w:rPr>
                <w:rFonts w:eastAsia="Calibri"/>
                <w:bCs/>
                <w:sz w:val="24"/>
                <w:szCs w:val="24"/>
              </w:rPr>
              <w:t>4</w:t>
            </w:r>
            <w:r w:rsidRPr="00F47312">
              <w:rPr>
                <w:rFonts w:eastAsia="Calibri"/>
                <w:bCs/>
                <w:sz w:val="24"/>
                <w:szCs w:val="24"/>
              </w:rPr>
              <w:t xml:space="preserve"> références et plus : </w:t>
            </w:r>
            <w:r>
              <w:rPr>
                <w:rFonts w:eastAsia="Calibri"/>
                <w:bCs/>
                <w:sz w:val="24"/>
                <w:szCs w:val="24"/>
              </w:rPr>
              <w:t>2</w:t>
            </w:r>
            <w:r w:rsidRPr="00F47312">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tcPr>
          <w:p w14:paraId="10CEF1AC" w14:textId="63B367FA" w:rsidR="001B45CB" w:rsidRDefault="008F5F57" w:rsidP="00872B7F">
            <w:pPr>
              <w:spacing w:line="360" w:lineRule="auto"/>
              <w:jc w:val="both"/>
              <w:rPr>
                <w:rFonts w:eastAsia="Calibri"/>
                <w:b/>
              </w:rPr>
            </w:pPr>
            <w:r>
              <w:rPr>
                <w:rFonts w:eastAsia="Calibri"/>
                <w:b/>
              </w:rPr>
              <w:t xml:space="preserve">20 </w:t>
            </w:r>
          </w:p>
        </w:tc>
      </w:tr>
      <w:tr w:rsidR="00872B7F" w:rsidRPr="009A78FC" w14:paraId="1FB7803D" w14:textId="77777777" w:rsidTr="00872B7F">
        <w:tc>
          <w:tcPr>
            <w:tcW w:w="807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827F6B" w14:textId="1F7BFBEF" w:rsidR="00872B7F" w:rsidRPr="009C5FDC" w:rsidRDefault="001103FC" w:rsidP="006966F7">
            <w:pPr>
              <w:pStyle w:val="Paragraphedeliste"/>
              <w:spacing w:line="360" w:lineRule="auto"/>
              <w:ind w:left="0"/>
              <w:jc w:val="both"/>
              <w:rPr>
                <w:rFonts w:eastAsia="Calibri"/>
                <w:b/>
              </w:rPr>
            </w:pPr>
            <w:r>
              <w:rPr>
                <w:b/>
                <w:sz w:val="24"/>
                <w:szCs w:val="24"/>
                <w:lang w:eastAsia="fr-FR"/>
              </w:rPr>
              <w:t>E</w:t>
            </w:r>
            <w:r w:rsidRPr="009A78FC">
              <w:rPr>
                <w:b/>
                <w:bCs/>
                <w:sz w:val="24"/>
                <w:szCs w:val="24"/>
                <w:lang w:eastAsia="fr-FR"/>
              </w:rPr>
              <w:t>xpert</w:t>
            </w:r>
            <w:r>
              <w:rPr>
                <w:b/>
                <w:bCs/>
                <w:sz w:val="24"/>
                <w:szCs w:val="24"/>
                <w:lang w:eastAsia="fr-FR"/>
              </w:rPr>
              <w:t>/e</w:t>
            </w:r>
            <w:r w:rsidRPr="009A78FC">
              <w:rPr>
                <w:b/>
                <w:bCs/>
                <w:sz w:val="24"/>
                <w:szCs w:val="24"/>
                <w:lang w:eastAsia="fr-FR"/>
              </w:rPr>
              <w:t xml:space="preserve"> </w:t>
            </w:r>
            <w:r w:rsidR="000729C6">
              <w:rPr>
                <w:b/>
                <w:bCs/>
                <w:sz w:val="24"/>
                <w:szCs w:val="24"/>
                <w:lang w:eastAsia="fr-FR"/>
              </w:rPr>
              <w:t xml:space="preserve">international </w:t>
            </w:r>
            <w:r w:rsidRPr="009A78FC">
              <w:rPr>
                <w:b/>
                <w:bCs/>
                <w:sz w:val="24"/>
                <w:szCs w:val="24"/>
                <w:lang w:eastAsia="fr-FR"/>
              </w:rPr>
              <w:t xml:space="preserve">spécialiste dans la politique d’atténuation dans le secteur de l’AFAT (Agriculture, Forêt et Affectation des terres) </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5F2FBF" w14:textId="570EEA4F" w:rsidR="00872B7F" w:rsidRPr="009C5FDC" w:rsidRDefault="00293719" w:rsidP="00872B7F">
            <w:pPr>
              <w:spacing w:line="360" w:lineRule="auto"/>
              <w:jc w:val="both"/>
              <w:rPr>
                <w:rFonts w:eastAsia="Calibri"/>
                <w:b/>
              </w:rPr>
            </w:pPr>
            <w:r>
              <w:rPr>
                <w:rFonts w:eastAsia="Calibri"/>
                <w:b/>
              </w:rPr>
              <w:t>8</w:t>
            </w:r>
            <w:r w:rsidR="00872B7F" w:rsidRPr="009C5FDC">
              <w:rPr>
                <w:rFonts w:eastAsia="Calibri"/>
                <w:b/>
              </w:rPr>
              <w:t>0</w:t>
            </w:r>
          </w:p>
        </w:tc>
      </w:tr>
      <w:tr w:rsidR="00872B7F" w:rsidRPr="009A78FC" w14:paraId="0BD8C133"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5DBF736F" w14:textId="65CA4222" w:rsidR="00872B7F" w:rsidRPr="006966F7" w:rsidRDefault="001103FC" w:rsidP="006966F7">
            <w:pPr>
              <w:spacing w:line="360" w:lineRule="auto"/>
              <w:jc w:val="both"/>
              <w:rPr>
                <w:rFonts w:eastAsia="Calibri"/>
                <w:bCs/>
                <w:sz w:val="24"/>
                <w:szCs w:val="24"/>
              </w:rPr>
            </w:pPr>
            <w:r w:rsidRPr="0069090B">
              <w:rPr>
                <w:sz w:val="24"/>
                <w:szCs w:val="24"/>
                <w:lang w:eastAsia="fr-FR"/>
              </w:rPr>
              <w:t xml:space="preserve">Expérience professionnelle en matière de politique d’atténuation des émissions de GES dans le secteur de </w:t>
            </w:r>
            <w:proofErr w:type="gramStart"/>
            <w:r w:rsidRPr="0069090B">
              <w:rPr>
                <w:sz w:val="24"/>
                <w:szCs w:val="24"/>
                <w:lang w:eastAsia="fr-FR"/>
              </w:rPr>
              <w:t>l’AFAT</w:t>
            </w:r>
            <w:r w:rsidR="00872B7F" w:rsidRPr="006966F7">
              <w:rPr>
                <w:rFonts w:eastAsia="Calibri"/>
                <w:bCs/>
                <w:sz w:val="24"/>
                <w:szCs w:val="24"/>
              </w:rPr>
              <w:t>:</w:t>
            </w:r>
            <w:proofErr w:type="gramEnd"/>
          </w:p>
          <w:p w14:paraId="14BC49E9" w14:textId="77777777"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Moins de 5 ans : 0 point</w:t>
            </w:r>
          </w:p>
          <w:p w14:paraId="166C284B" w14:textId="1B5804B2"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Entre 5 et 10 ans : 1</w:t>
            </w:r>
            <w:r w:rsidR="00BE45BA">
              <w:rPr>
                <w:rFonts w:eastAsia="Calibri"/>
                <w:bCs/>
                <w:sz w:val="24"/>
                <w:szCs w:val="24"/>
              </w:rPr>
              <w:t>0</w:t>
            </w:r>
            <w:r w:rsidRPr="006966F7">
              <w:rPr>
                <w:rFonts w:eastAsia="Calibri"/>
                <w:bCs/>
                <w:sz w:val="24"/>
                <w:szCs w:val="24"/>
              </w:rPr>
              <w:t xml:space="preserve"> points</w:t>
            </w:r>
          </w:p>
          <w:p w14:paraId="4E528502" w14:textId="77777777" w:rsidR="00872B7F" w:rsidRPr="009C5FDC" w:rsidRDefault="00872B7F" w:rsidP="00BD456A">
            <w:pPr>
              <w:pStyle w:val="Paragraphedeliste"/>
              <w:numPr>
                <w:ilvl w:val="0"/>
                <w:numId w:val="22"/>
              </w:numPr>
              <w:spacing w:line="360" w:lineRule="auto"/>
              <w:jc w:val="both"/>
              <w:rPr>
                <w:rFonts w:eastAsia="Calibri"/>
                <w:b/>
              </w:rPr>
            </w:pPr>
            <w:r w:rsidRPr="006966F7">
              <w:rPr>
                <w:rFonts w:eastAsia="Calibri"/>
                <w:bCs/>
                <w:sz w:val="24"/>
                <w:szCs w:val="24"/>
              </w:rPr>
              <w:t>11 ans et plus : 20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EC58DAB" w14:textId="77777777" w:rsidR="00872B7F" w:rsidRPr="009C5FDC" w:rsidRDefault="00872B7F" w:rsidP="00872B7F">
            <w:pPr>
              <w:spacing w:line="360" w:lineRule="auto"/>
              <w:jc w:val="both"/>
              <w:rPr>
                <w:rFonts w:eastAsia="Calibri"/>
                <w:b/>
              </w:rPr>
            </w:pPr>
            <w:r w:rsidRPr="009C5FDC">
              <w:rPr>
                <w:rFonts w:eastAsia="Calibri"/>
                <w:b/>
              </w:rPr>
              <w:t>20</w:t>
            </w:r>
          </w:p>
        </w:tc>
      </w:tr>
      <w:tr w:rsidR="00872B7F" w:rsidRPr="009A78FC" w14:paraId="4098FF9E"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5EE5592C" w14:textId="0136F35E" w:rsidR="001B45CB" w:rsidRDefault="001B45CB" w:rsidP="00872B7F">
            <w:pPr>
              <w:spacing w:line="360" w:lineRule="auto"/>
              <w:jc w:val="both"/>
              <w:rPr>
                <w:rFonts w:eastAsia="Calibri"/>
                <w:b/>
              </w:rPr>
            </w:pPr>
            <w:r w:rsidRPr="0069090B">
              <w:rPr>
                <w:sz w:val="24"/>
                <w:szCs w:val="24"/>
                <w:lang w:eastAsia="fr-FR"/>
              </w:rPr>
              <w:t>Références dans le domaine de la politique d’atténuation dans le secteur de l’AFAT</w:t>
            </w:r>
            <w:proofErr w:type="gramStart"/>
            <w:r w:rsidR="00B912CD">
              <w:rPr>
                <w:sz w:val="24"/>
                <w:szCs w:val="24"/>
                <w:lang w:eastAsia="fr-FR"/>
              </w:rPr>
              <w:t xml:space="preserve">  </w:t>
            </w:r>
            <w:r w:rsidR="00DF5F4E">
              <w:rPr>
                <w:rFonts w:eastAsia="Calibri"/>
                <w:b/>
              </w:rPr>
              <w:t> :</w:t>
            </w:r>
            <w:proofErr w:type="gramEnd"/>
          </w:p>
          <w:p w14:paraId="4AE5453F" w14:textId="1DE7C10A"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Aucune référence : 0 point</w:t>
            </w:r>
          </w:p>
          <w:p w14:paraId="589E70EE" w14:textId="342310C6" w:rsidR="00872B7F" w:rsidRPr="006966F7" w:rsidRDefault="00872B7F" w:rsidP="00BD456A">
            <w:pPr>
              <w:pStyle w:val="Paragraphedeliste"/>
              <w:numPr>
                <w:ilvl w:val="0"/>
                <w:numId w:val="22"/>
              </w:numPr>
              <w:spacing w:line="360" w:lineRule="auto"/>
              <w:jc w:val="both"/>
              <w:rPr>
                <w:rFonts w:eastAsia="Calibri"/>
                <w:bCs/>
                <w:sz w:val="24"/>
                <w:szCs w:val="24"/>
              </w:rPr>
            </w:pPr>
            <w:r w:rsidRPr="006966F7">
              <w:rPr>
                <w:rFonts w:eastAsia="Calibri"/>
                <w:bCs/>
                <w:sz w:val="24"/>
                <w:szCs w:val="24"/>
              </w:rPr>
              <w:t xml:space="preserve">Entre 1 et </w:t>
            </w:r>
            <w:r w:rsidR="001F3630">
              <w:rPr>
                <w:rFonts w:eastAsia="Calibri"/>
                <w:bCs/>
                <w:sz w:val="24"/>
                <w:szCs w:val="24"/>
              </w:rPr>
              <w:t>4</w:t>
            </w:r>
            <w:r w:rsidRPr="006966F7">
              <w:rPr>
                <w:rFonts w:eastAsia="Calibri"/>
                <w:bCs/>
                <w:sz w:val="24"/>
                <w:szCs w:val="24"/>
              </w:rPr>
              <w:t xml:space="preserve"> références : 20 points</w:t>
            </w:r>
          </w:p>
          <w:p w14:paraId="515F3BA4" w14:textId="40475B8A" w:rsidR="00872B7F" w:rsidRPr="00872B7F" w:rsidRDefault="001F3630" w:rsidP="00BD456A">
            <w:pPr>
              <w:pStyle w:val="Paragraphedeliste"/>
              <w:numPr>
                <w:ilvl w:val="0"/>
                <w:numId w:val="22"/>
              </w:numPr>
              <w:spacing w:line="360" w:lineRule="auto"/>
              <w:jc w:val="both"/>
              <w:rPr>
                <w:rFonts w:eastAsia="Calibri"/>
                <w:b/>
              </w:rPr>
            </w:pPr>
            <w:r>
              <w:rPr>
                <w:rFonts w:eastAsia="Calibri"/>
                <w:bCs/>
                <w:sz w:val="24"/>
                <w:szCs w:val="24"/>
              </w:rPr>
              <w:t>5</w:t>
            </w:r>
            <w:r w:rsidR="00872B7F" w:rsidRPr="006966F7">
              <w:rPr>
                <w:rFonts w:eastAsia="Calibri"/>
                <w:bCs/>
                <w:sz w:val="24"/>
                <w:szCs w:val="24"/>
              </w:rPr>
              <w:t xml:space="preserve"> références et plus : 40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D7FF2F8" w14:textId="77777777" w:rsidR="00872B7F" w:rsidRPr="009C5FDC" w:rsidRDefault="00872B7F" w:rsidP="00872B7F">
            <w:pPr>
              <w:spacing w:line="360" w:lineRule="auto"/>
              <w:jc w:val="both"/>
              <w:rPr>
                <w:rFonts w:eastAsia="Calibri"/>
                <w:b/>
              </w:rPr>
            </w:pPr>
            <w:r>
              <w:rPr>
                <w:rFonts w:eastAsia="Calibri"/>
                <w:b/>
              </w:rPr>
              <w:t>40</w:t>
            </w:r>
          </w:p>
        </w:tc>
      </w:tr>
      <w:tr w:rsidR="009C4211" w:rsidRPr="009A78FC" w14:paraId="446378E8"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68F5E0EC" w14:textId="77777777" w:rsidR="009C4211" w:rsidRDefault="009C4211" w:rsidP="009C4211">
            <w:pPr>
              <w:spacing w:line="360" w:lineRule="auto"/>
              <w:jc w:val="both"/>
              <w:rPr>
                <w:sz w:val="24"/>
                <w:szCs w:val="24"/>
                <w:lang w:eastAsia="fr-FR"/>
              </w:rPr>
            </w:pPr>
            <w:r>
              <w:rPr>
                <w:sz w:val="24"/>
                <w:szCs w:val="24"/>
                <w:lang w:eastAsia="fr-FR"/>
              </w:rPr>
              <w:t>Reference dans les pays de l’Afrique de l’Ouest et/ou la Guinée Bissau</w:t>
            </w:r>
          </w:p>
          <w:p w14:paraId="68DAFE47" w14:textId="77777777" w:rsidR="00A916A7" w:rsidRDefault="009C4211" w:rsidP="00BD456A">
            <w:pPr>
              <w:pStyle w:val="Paragraphedeliste"/>
              <w:numPr>
                <w:ilvl w:val="0"/>
                <w:numId w:val="23"/>
              </w:numPr>
              <w:spacing w:line="360" w:lineRule="auto"/>
              <w:jc w:val="both"/>
              <w:rPr>
                <w:rFonts w:eastAsia="Calibri"/>
                <w:bCs/>
                <w:sz w:val="24"/>
                <w:szCs w:val="24"/>
              </w:rPr>
            </w:pPr>
            <w:r w:rsidRPr="00F47312">
              <w:rPr>
                <w:rFonts w:eastAsia="Calibri"/>
                <w:bCs/>
                <w:sz w:val="24"/>
                <w:szCs w:val="24"/>
              </w:rPr>
              <w:t>Aucune référence : 0 point</w:t>
            </w:r>
          </w:p>
          <w:p w14:paraId="1CD260AF" w14:textId="7D1D51E0" w:rsidR="001715F4" w:rsidRPr="006966F7" w:rsidRDefault="009C4211" w:rsidP="00BD456A">
            <w:pPr>
              <w:pStyle w:val="Paragraphedeliste"/>
              <w:numPr>
                <w:ilvl w:val="0"/>
                <w:numId w:val="23"/>
              </w:numPr>
              <w:spacing w:line="360" w:lineRule="auto"/>
              <w:jc w:val="both"/>
              <w:rPr>
                <w:rFonts w:eastAsia="Calibri"/>
                <w:bCs/>
                <w:sz w:val="24"/>
                <w:szCs w:val="24"/>
              </w:rPr>
            </w:pPr>
            <w:r w:rsidRPr="006966F7">
              <w:rPr>
                <w:rFonts w:eastAsia="Calibri"/>
                <w:bCs/>
                <w:sz w:val="24"/>
                <w:szCs w:val="24"/>
              </w:rPr>
              <w:t>Entre 1 et 3 références : 10 points</w:t>
            </w:r>
          </w:p>
          <w:p w14:paraId="1E9042E7" w14:textId="4806691F" w:rsidR="009C4211" w:rsidRPr="00872B7F" w:rsidRDefault="009C4211" w:rsidP="00C67671">
            <w:pPr>
              <w:pStyle w:val="Paragraphedeliste"/>
            </w:pPr>
            <w:r w:rsidRPr="006966F7">
              <w:rPr>
                <w:rFonts w:eastAsia="Calibri"/>
                <w:bCs/>
                <w:sz w:val="24"/>
                <w:szCs w:val="24"/>
              </w:rPr>
              <w:t>4 références et plus : 20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F636D43" w14:textId="0C8F99C9" w:rsidR="009C4211" w:rsidRPr="009C5FDC" w:rsidRDefault="009C4211" w:rsidP="009C4211">
            <w:pPr>
              <w:spacing w:line="360" w:lineRule="auto"/>
              <w:jc w:val="both"/>
              <w:rPr>
                <w:rFonts w:eastAsia="Calibri"/>
                <w:b/>
              </w:rPr>
            </w:pPr>
            <w:r>
              <w:rPr>
                <w:rFonts w:eastAsia="Calibri"/>
                <w:b/>
              </w:rPr>
              <w:t xml:space="preserve">20 </w:t>
            </w:r>
          </w:p>
        </w:tc>
      </w:tr>
      <w:tr w:rsidR="00C67671" w:rsidRPr="009A78FC" w14:paraId="4E379D06" w14:textId="77777777" w:rsidTr="006966F7">
        <w:trPr>
          <w:trHeight w:val="270"/>
        </w:trPr>
        <w:tc>
          <w:tcPr>
            <w:tcW w:w="8075" w:type="dxa"/>
            <w:tcBorders>
              <w:top w:val="single" w:sz="4" w:space="0" w:color="auto"/>
              <w:left w:val="single" w:sz="4" w:space="0" w:color="auto"/>
              <w:bottom w:val="single" w:sz="4" w:space="0" w:color="auto"/>
              <w:right w:val="single" w:sz="4" w:space="0" w:color="auto"/>
            </w:tcBorders>
            <w:shd w:val="clear" w:color="auto" w:fill="FFFF00"/>
            <w:vAlign w:val="center"/>
          </w:tcPr>
          <w:p w14:paraId="39743A39" w14:textId="0FD028C7" w:rsidR="00C67671" w:rsidRPr="006966F7" w:rsidRDefault="00C67671" w:rsidP="00C67671">
            <w:pPr>
              <w:spacing w:line="360" w:lineRule="auto"/>
              <w:jc w:val="both"/>
              <w:rPr>
                <w:b/>
                <w:bCs/>
                <w:sz w:val="24"/>
                <w:szCs w:val="24"/>
                <w:lang w:eastAsia="fr-FR"/>
              </w:rPr>
            </w:pPr>
            <w:r w:rsidRPr="006966F7">
              <w:rPr>
                <w:b/>
                <w:bCs/>
                <w:sz w:val="24"/>
                <w:szCs w:val="24"/>
                <w:lang w:eastAsia="fr-FR"/>
              </w:rPr>
              <w:t xml:space="preserve">Expert/e </w:t>
            </w:r>
            <w:r w:rsidR="00987BFD">
              <w:rPr>
                <w:b/>
                <w:bCs/>
                <w:sz w:val="24"/>
                <w:szCs w:val="24"/>
                <w:lang w:eastAsia="fr-FR"/>
              </w:rPr>
              <w:t xml:space="preserve">international </w:t>
            </w:r>
            <w:r w:rsidRPr="006966F7">
              <w:rPr>
                <w:b/>
                <w:bCs/>
                <w:sz w:val="24"/>
                <w:szCs w:val="24"/>
                <w:lang w:eastAsia="fr-FR"/>
              </w:rPr>
              <w:t>en élaboration des inventaires de GES</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14:paraId="3AEA6BD5" w14:textId="5EB7D16B" w:rsidR="00C67671" w:rsidRDefault="00D6500C" w:rsidP="009C4211">
            <w:pPr>
              <w:spacing w:line="360" w:lineRule="auto"/>
              <w:jc w:val="both"/>
              <w:rPr>
                <w:rFonts w:eastAsia="Calibri"/>
                <w:b/>
              </w:rPr>
            </w:pPr>
            <w:r>
              <w:rPr>
                <w:rFonts w:eastAsia="Calibri"/>
                <w:b/>
              </w:rPr>
              <w:t>80</w:t>
            </w:r>
          </w:p>
        </w:tc>
      </w:tr>
      <w:tr w:rsidR="00C67671" w:rsidRPr="009A78FC" w14:paraId="532F05D4" w14:textId="77777777" w:rsidTr="00872B7F">
        <w:tc>
          <w:tcPr>
            <w:tcW w:w="8075" w:type="dxa"/>
            <w:tcBorders>
              <w:top w:val="single" w:sz="4" w:space="0" w:color="auto"/>
              <w:left w:val="single" w:sz="4" w:space="0" w:color="auto"/>
              <w:bottom w:val="single" w:sz="4" w:space="0" w:color="auto"/>
              <w:right w:val="single" w:sz="4" w:space="0" w:color="auto"/>
            </w:tcBorders>
            <w:vAlign w:val="center"/>
          </w:tcPr>
          <w:p w14:paraId="63F6B769" w14:textId="77777777" w:rsidR="00C67671" w:rsidRDefault="00C67671" w:rsidP="009C4211">
            <w:pPr>
              <w:spacing w:line="360" w:lineRule="auto"/>
              <w:jc w:val="both"/>
              <w:rPr>
                <w:sz w:val="24"/>
                <w:szCs w:val="24"/>
                <w:lang w:eastAsia="fr-FR"/>
              </w:rPr>
            </w:pPr>
            <w:r w:rsidRPr="007E6266">
              <w:rPr>
                <w:sz w:val="24"/>
                <w:szCs w:val="24"/>
                <w:lang w:eastAsia="fr-FR"/>
              </w:rPr>
              <w:t>Expérience professionnelle en matière de politique d’atténuation</w:t>
            </w:r>
          </w:p>
          <w:p w14:paraId="0AE71CE7" w14:textId="77777777" w:rsidR="00A6420D" w:rsidRPr="00F47312" w:rsidRDefault="00A6420D"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Moins de 5 ans : 0 point</w:t>
            </w:r>
          </w:p>
          <w:p w14:paraId="5F4C70A8" w14:textId="77777777" w:rsidR="00A6420D" w:rsidRPr="00F47312" w:rsidRDefault="00A6420D"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Entre 5 et 10 ans : 1</w:t>
            </w:r>
            <w:r>
              <w:rPr>
                <w:rFonts w:eastAsia="Calibri"/>
                <w:bCs/>
                <w:sz w:val="24"/>
                <w:szCs w:val="24"/>
              </w:rPr>
              <w:t>0</w:t>
            </w:r>
            <w:r w:rsidRPr="00F47312">
              <w:rPr>
                <w:rFonts w:eastAsia="Calibri"/>
                <w:bCs/>
                <w:sz w:val="24"/>
                <w:szCs w:val="24"/>
              </w:rPr>
              <w:t xml:space="preserve"> points</w:t>
            </w:r>
          </w:p>
          <w:p w14:paraId="13191D3B" w14:textId="128AB35A" w:rsidR="00A6420D" w:rsidRDefault="00A6420D" w:rsidP="00BD456A">
            <w:pPr>
              <w:pStyle w:val="Paragraphedeliste"/>
              <w:numPr>
                <w:ilvl w:val="0"/>
                <w:numId w:val="22"/>
              </w:numPr>
              <w:spacing w:line="360" w:lineRule="auto"/>
              <w:jc w:val="both"/>
              <w:rPr>
                <w:sz w:val="24"/>
                <w:szCs w:val="24"/>
                <w:lang w:eastAsia="fr-FR"/>
              </w:rPr>
            </w:pPr>
            <w:r w:rsidRPr="00F47312">
              <w:rPr>
                <w:rFonts w:eastAsia="Calibri"/>
                <w:bCs/>
                <w:sz w:val="24"/>
                <w:szCs w:val="24"/>
              </w:rPr>
              <w:t>11 ans et plus : 20 points</w:t>
            </w:r>
          </w:p>
        </w:tc>
        <w:tc>
          <w:tcPr>
            <w:tcW w:w="1247" w:type="dxa"/>
            <w:tcBorders>
              <w:top w:val="single" w:sz="4" w:space="0" w:color="auto"/>
              <w:left w:val="single" w:sz="4" w:space="0" w:color="auto"/>
              <w:bottom w:val="single" w:sz="4" w:space="0" w:color="auto"/>
              <w:right w:val="single" w:sz="4" w:space="0" w:color="auto"/>
            </w:tcBorders>
            <w:vAlign w:val="center"/>
          </w:tcPr>
          <w:p w14:paraId="458324FE" w14:textId="039CE1E0" w:rsidR="00C67671" w:rsidRDefault="00791715" w:rsidP="009C4211">
            <w:pPr>
              <w:spacing w:line="360" w:lineRule="auto"/>
              <w:jc w:val="both"/>
              <w:rPr>
                <w:rFonts w:eastAsia="Calibri"/>
                <w:b/>
              </w:rPr>
            </w:pPr>
            <w:r>
              <w:rPr>
                <w:rFonts w:eastAsia="Calibri"/>
                <w:b/>
              </w:rPr>
              <w:t>20</w:t>
            </w:r>
          </w:p>
        </w:tc>
      </w:tr>
      <w:tr w:rsidR="00C67671" w:rsidRPr="009A78FC" w14:paraId="77FFDB5C" w14:textId="77777777" w:rsidTr="00872B7F">
        <w:tc>
          <w:tcPr>
            <w:tcW w:w="8075" w:type="dxa"/>
            <w:tcBorders>
              <w:top w:val="single" w:sz="4" w:space="0" w:color="auto"/>
              <w:left w:val="single" w:sz="4" w:space="0" w:color="auto"/>
              <w:bottom w:val="single" w:sz="4" w:space="0" w:color="auto"/>
              <w:right w:val="single" w:sz="4" w:space="0" w:color="auto"/>
            </w:tcBorders>
            <w:vAlign w:val="center"/>
          </w:tcPr>
          <w:p w14:paraId="76D5F9D5" w14:textId="728A9C08" w:rsidR="00C67671" w:rsidRDefault="00C67671" w:rsidP="009C4211">
            <w:pPr>
              <w:spacing w:line="360" w:lineRule="auto"/>
              <w:jc w:val="both"/>
              <w:rPr>
                <w:sz w:val="24"/>
                <w:szCs w:val="24"/>
                <w:lang w:eastAsia="fr-FR"/>
              </w:rPr>
            </w:pPr>
            <w:r w:rsidRPr="007E6266">
              <w:rPr>
                <w:sz w:val="24"/>
                <w:szCs w:val="24"/>
                <w:lang w:eastAsia="fr-FR"/>
              </w:rPr>
              <w:t xml:space="preserve">Références dans l’élaboration </w:t>
            </w:r>
            <w:r>
              <w:rPr>
                <w:sz w:val="24"/>
                <w:szCs w:val="24"/>
                <w:lang w:eastAsia="fr-FR"/>
              </w:rPr>
              <w:t xml:space="preserve">des inventaires nationaux et/ou sectoriels des émissions de </w:t>
            </w:r>
            <w:proofErr w:type="gramStart"/>
            <w:r>
              <w:rPr>
                <w:sz w:val="24"/>
                <w:szCs w:val="24"/>
                <w:lang w:eastAsia="fr-FR"/>
              </w:rPr>
              <w:t>GES</w:t>
            </w:r>
            <w:r w:rsidR="0085115C">
              <w:rPr>
                <w:sz w:val="24"/>
                <w:szCs w:val="24"/>
                <w:lang w:eastAsia="fr-FR"/>
              </w:rPr>
              <w:t>:</w:t>
            </w:r>
            <w:proofErr w:type="gramEnd"/>
          </w:p>
          <w:p w14:paraId="09DE6515" w14:textId="77777777" w:rsidR="0085115C" w:rsidRPr="00F47312" w:rsidRDefault="0085115C"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Aucune référence : 0 point</w:t>
            </w:r>
          </w:p>
          <w:p w14:paraId="33D87E1E" w14:textId="00E912D3" w:rsidR="0085115C" w:rsidRPr="00F47312" w:rsidRDefault="0085115C" w:rsidP="00BD456A">
            <w:pPr>
              <w:pStyle w:val="Paragraphedeliste"/>
              <w:numPr>
                <w:ilvl w:val="0"/>
                <w:numId w:val="22"/>
              </w:numPr>
              <w:spacing w:line="360" w:lineRule="auto"/>
              <w:jc w:val="both"/>
              <w:rPr>
                <w:rFonts w:eastAsia="Calibri"/>
                <w:bCs/>
                <w:sz w:val="24"/>
                <w:szCs w:val="24"/>
              </w:rPr>
            </w:pPr>
            <w:r w:rsidRPr="00F47312">
              <w:rPr>
                <w:rFonts w:eastAsia="Calibri"/>
                <w:bCs/>
                <w:sz w:val="24"/>
                <w:szCs w:val="24"/>
              </w:rPr>
              <w:t xml:space="preserve">Entre 1 et </w:t>
            </w:r>
            <w:r>
              <w:rPr>
                <w:rFonts w:eastAsia="Calibri"/>
                <w:bCs/>
                <w:sz w:val="24"/>
                <w:szCs w:val="24"/>
              </w:rPr>
              <w:t>4</w:t>
            </w:r>
            <w:r w:rsidRPr="00F47312">
              <w:rPr>
                <w:rFonts w:eastAsia="Calibri"/>
                <w:bCs/>
                <w:sz w:val="24"/>
                <w:szCs w:val="24"/>
              </w:rPr>
              <w:t xml:space="preserve"> références : </w:t>
            </w:r>
            <w:r w:rsidR="00010A9E">
              <w:rPr>
                <w:rFonts w:eastAsia="Calibri"/>
                <w:bCs/>
                <w:sz w:val="24"/>
                <w:szCs w:val="24"/>
              </w:rPr>
              <w:t>1</w:t>
            </w:r>
            <w:r w:rsidR="00806324">
              <w:rPr>
                <w:rFonts w:eastAsia="Calibri"/>
                <w:bCs/>
                <w:sz w:val="24"/>
                <w:szCs w:val="24"/>
              </w:rPr>
              <w:t>5</w:t>
            </w:r>
            <w:r w:rsidRPr="00F47312">
              <w:rPr>
                <w:rFonts w:eastAsia="Calibri"/>
                <w:bCs/>
                <w:sz w:val="24"/>
                <w:szCs w:val="24"/>
              </w:rPr>
              <w:t xml:space="preserve"> points</w:t>
            </w:r>
          </w:p>
          <w:p w14:paraId="5870D7A5" w14:textId="22B6FE6C" w:rsidR="0085115C" w:rsidRPr="006966F7" w:rsidRDefault="0085115C" w:rsidP="00BD456A">
            <w:pPr>
              <w:pStyle w:val="Paragraphedeliste"/>
              <w:numPr>
                <w:ilvl w:val="0"/>
                <w:numId w:val="22"/>
              </w:numPr>
              <w:spacing w:line="360" w:lineRule="auto"/>
              <w:jc w:val="both"/>
              <w:rPr>
                <w:sz w:val="24"/>
                <w:szCs w:val="24"/>
                <w:lang w:eastAsia="fr-FR"/>
              </w:rPr>
            </w:pPr>
            <w:r>
              <w:rPr>
                <w:rFonts w:eastAsia="Calibri"/>
                <w:bCs/>
                <w:sz w:val="24"/>
                <w:szCs w:val="24"/>
              </w:rPr>
              <w:t>5</w:t>
            </w:r>
            <w:r w:rsidRPr="00F47312">
              <w:rPr>
                <w:rFonts w:eastAsia="Calibri"/>
                <w:bCs/>
                <w:sz w:val="24"/>
                <w:szCs w:val="24"/>
              </w:rPr>
              <w:t xml:space="preserve"> références et plus : </w:t>
            </w:r>
            <w:r w:rsidR="00D436C6">
              <w:rPr>
                <w:rFonts w:eastAsia="Calibri"/>
                <w:bCs/>
                <w:sz w:val="24"/>
                <w:szCs w:val="24"/>
              </w:rPr>
              <w:t>5</w:t>
            </w:r>
            <w:r w:rsidRPr="00F47312">
              <w:rPr>
                <w:rFonts w:eastAsia="Calibri"/>
                <w:bCs/>
                <w:sz w:val="24"/>
                <w:szCs w:val="24"/>
              </w:rPr>
              <w:t>0 points</w:t>
            </w:r>
          </w:p>
          <w:p w14:paraId="0D7681D8" w14:textId="10BC1CE6" w:rsidR="00DC7995" w:rsidRPr="006966F7" w:rsidRDefault="00DC7995" w:rsidP="006966F7">
            <w:pPr>
              <w:spacing w:line="360" w:lineRule="auto"/>
              <w:jc w:val="both"/>
              <w:rPr>
                <w:sz w:val="24"/>
                <w:szCs w:val="24"/>
                <w:lang w:eastAsia="fr-FR"/>
              </w:rPr>
            </w:pPr>
            <w:r>
              <w:rPr>
                <w:sz w:val="24"/>
                <w:szCs w:val="24"/>
                <w:lang w:eastAsia="fr-FR"/>
              </w:rPr>
              <w:t>Parmi les références au moins une devra être un inventaire national.</w:t>
            </w:r>
          </w:p>
        </w:tc>
        <w:tc>
          <w:tcPr>
            <w:tcW w:w="1247" w:type="dxa"/>
            <w:tcBorders>
              <w:top w:val="single" w:sz="4" w:space="0" w:color="auto"/>
              <w:left w:val="single" w:sz="4" w:space="0" w:color="auto"/>
              <w:bottom w:val="single" w:sz="4" w:space="0" w:color="auto"/>
              <w:right w:val="single" w:sz="4" w:space="0" w:color="auto"/>
            </w:tcBorders>
            <w:vAlign w:val="center"/>
          </w:tcPr>
          <w:p w14:paraId="165FE5CE" w14:textId="1B30AF6D" w:rsidR="00C67671" w:rsidRDefault="00D436C6" w:rsidP="009C4211">
            <w:pPr>
              <w:spacing w:line="360" w:lineRule="auto"/>
              <w:jc w:val="both"/>
              <w:rPr>
                <w:rFonts w:eastAsia="Calibri"/>
                <w:b/>
              </w:rPr>
            </w:pPr>
            <w:r>
              <w:rPr>
                <w:rFonts w:eastAsia="Calibri"/>
                <w:b/>
              </w:rPr>
              <w:t>5</w:t>
            </w:r>
            <w:r w:rsidR="00791715">
              <w:rPr>
                <w:rFonts w:eastAsia="Calibri"/>
                <w:b/>
              </w:rPr>
              <w:t>0</w:t>
            </w:r>
          </w:p>
        </w:tc>
      </w:tr>
      <w:tr w:rsidR="00C67671" w:rsidRPr="009A78FC" w14:paraId="18556D38" w14:textId="77777777" w:rsidTr="00872B7F">
        <w:tc>
          <w:tcPr>
            <w:tcW w:w="8075" w:type="dxa"/>
            <w:tcBorders>
              <w:top w:val="single" w:sz="4" w:space="0" w:color="auto"/>
              <w:left w:val="single" w:sz="4" w:space="0" w:color="auto"/>
              <w:bottom w:val="single" w:sz="4" w:space="0" w:color="auto"/>
              <w:right w:val="single" w:sz="4" w:space="0" w:color="auto"/>
            </w:tcBorders>
            <w:vAlign w:val="center"/>
          </w:tcPr>
          <w:p w14:paraId="67037C1C" w14:textId="77777777" w:rsidR="00C67671" w:rsidRDefault="00C67671" w:rsidP="009C4211">
            <w:pPr>
              <w:spacing w:line="360" w:lineRule="auto"/>
              <w:jc w:val="both"/>
              <w:rPr>
                <w:sz w:val="24"/>
                <w:szCs w:val="24"/>
                <w:lang w:eastAsia="fr-FR"/>
              </w:rPr>
            </w:pPr>
            <w:r>
              <w:rPr>
                <w:sz w:val="24"/>
                <w:szCs w:val="24"/>
                <w:lang w:eastAsia="fr-FR"/>
              </w:rPr>
              <w:t>Reference dans le contexte de la Guinée Bissau ou les pays de l’Afrique de l’Ouest</w:t>
            </w:r>
          </w:p>
          <w:p w14:paraId="400F3693" w14:textId="77777777" w:rsidR="00C16AA9" w:rsidRDefault="00C16AA9" w:rsidP="00BD456A">
            <w:pPr>
              <w:pStyle w:val="Paragraphedeliste"/>
              <w:numPr>
                <w:ilvl w:val="0"/>
                <w:numId w:val="23"/>
              </w:numPr>
              <w:spacing w:line="360" w:lineRule="auto"/>
              <w:jc w:val="both"/>
              <w:rPr>
                <w:rFonts w:eastAsia="Calibri"/>
                <w:bCs/>
                <w:sz w:val="24"/>
                <w:szCs w:val="24"/>
              </w:rPr>
            </w:pPr>
            <w:r w:rsidRPr="00F47312">
              <w:rPr>
                <w:rFonts w:eastAsia="Calibri"/>
                <w:bCs/>
                <w:sz w:val="24"/>
                <w:szCs w:val="24"/>
              </w:rPr>
              <w:t>Aucune référence : 0 point</w:t>
            </w:r>
          </w:p>
          <w:p w14:paraId="22AD6911" w14:textId="14E496C3" w:rsidR="00C16AA9" w:rsidRPr="00F47312" w:rsidRDefault="00C16AA9" w:rsidP="00BD456A">
            <w:pPr>
              <w:pStyle w:val="Paragraphedeliste"/>
              <w:numPr>
                <w:ilvl w:val="0"/>
                <w:numId w:val="23"/>
              </w:numPr>
              <w:spacing w:line="360" w:lineRule="auto"/>
              <w:jc w:val="both"/>
              <w:rPr>
                <w:rFonts w:eastAsia="Calibri"/>
                <w:bCs/>
                <w:sz w:val="24"/>
                <w:szCs w:val="24"/>
              </w:rPr>
            </w:pPr>
            <w:r w:rsidRPr="00F47312">
              <w:rPr>
                <w:rFonts w:eastAsia="Calibri"/>
                <w:bCs/>
                <w:sz w:val="24"/>
                <w:szCs w:val="24"/>
              </w:rPr>
              <w:t xml:space="preserve">Entre 1 et 3 références : </w:t>
            </w:r>
            <w:r w:rsidR="00B612AE">
              <w:rPr>
                <w:rFonts w:eastAsia="Calibri"/>
                <w:bCs/>
                <w:sz w:val="24"/>
                <w:szCs w:val="24"/>
              </w:rPr>
              <w:t>5</w:t>
            </w:r>
            <w:r w:rsidRPr="00F47312">
              <w:rPr>
                <w:rFonts w:eastAsia="Calibri"/>
                <w:bCs/>
                <w:sz w:val="24"/>
                <w:szCs w:val="24"/>
              </w:rPr>
              <w:t xml:space="preserve"> points</w:t>
            </w:r>
          </w:p>
          <w:p w14:paraId="4E3A1F0D" w14:textId="4A4AEC4A" w:rsidR="00C16AA9" w:rsidRDefault="00C16AA9" w:rsidP="00BD456A">
            <w:pPr>
              <w:pStyle w:val="Paragraphedeliste"/>
              <w:numPr>
                <w:ilvl w:val="0"/>
                <w:numId w:val="23"/>
              </w:numPr>
              <w:spacing w:line="360" w:lineRule="auto"/>
              <w:jc w:val="both"/>
              <w:rPr>
                <w:sz w:val="24"/>
                <w:szCs w:val="24"/>
                <w:lang w:eastAsia="fr-FR"/>
              </w:rPr>
            </w:pPr>
            <w:r w:rsidRPr="00F47312">
              <w:rPr>
                <w:rFonts w:eastAsia="Calibri"/>
                <w:bCs/>
                <w:sz w:val="24"/>
                <w:szCs w:val="24"/>
              </w:rPr>
              <w:t xml:space="preserve">4 références et plus : </w:t>
            </w:r>
            <w:r w:rsidR="00B612AE">
              <w:rPr>
                <w:rFonts w:eastAsia="Calibri"/>
                <w:bCs/>
                <w:sz w:val="24"/>
                <w:szCs w:val="24"/>
              </w:rPr>
              <w:t>1</w:t>
            </w:r>
            <w:r w:rsidRPr="00F47312">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tcPr>
          <w:p w14:paraId="26C61662" w14:textId="7079A159" w:rsidR="00C67671" w:rsidRDefault="00B612AE" w:rsidP="009C4211">
            <w:pPr>
              <w:spacing w:line="360" w:lineRule="auto"/>
              <w:jc w:val="both"/>
              <w:rPr>
                <w:rFonts w:eastAsia="Calibri"/>
                <w:b/>
              </w:rPr>
            </w:pPr>
            <w:r>
              <w:rPr>
                <w:rFonts w:eastAsia="Calibri"/>
                <w:b/>
              </w:rPr>
              <w:t>1</w:t>
            </w:r>
            <w:r w:rsidR="00267848">
              <w:rPr>
                <w:rFonts w:eastAsia="Calibri"/>
                <w:b/>
              </w:rPr>
              <w:t>0</w:t>
            </w:r>
          </w:p>
        </w:tc>
      </w:tr>
      <w:tr w:rsidR="00872B7F" w:rsidRPr="009A78FC" w14:paraId="7ED6C1F0" w14:textId="77777777" w:rsidTr="00872B7F">
        <w:tc>
          <w:tcPr>
            <w:tcW w:w="807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2246C1" w14:textId="3E1996AD" w:rsidR="00872B7F" w:rsidRPr="00872B7F" w:rsidRDefault="00872B7F" w:rsidP="00872B7F">
            <w:pPr>
              <w:spacing w:line="360" w:lineRule="auto"/>
              <w:jc w:val="both"/>
              <w:rPr>
                <w:rFonts w:eastAsia="Calibri"/>
                <w:b/>
              </w:rPr>
            </w:pPr>
            <w:r w:rsidRPr="00872B7F">
              <w:rPr>
                <w:rFonts w:eastAsia="Calibri"/>
                <w:b/>
              </w:rPr>
              <w:t>Expert/e</w:t>
            </w:r>
            <w:r w:rsidR="003D4C4A">
              <w:rPr>
                <w:rFonts w:eastAsia="Calibri"/>
                <w:b/>
              </w:rPr>
              <w:t xml:space="preserve"> international</w:t>
            </w:r>
            <w:r w:rsidRPr="00872B7F">
              <w:rPr>
                <w:rFonts w:eastAsia="Calibri"/>
                <w:b/>
              </w:rPr>
              <w:t xml:space="preserve"> spécialiste en genre</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013839" w14:textId="77777777" w:rsidR="00872B7F" w:rsidRPr="00D51597" w:rsidDel="00F05396" w:rsidRDefault="00872B7F" w:rsidP="00872B7F">
            <w:pPr>
              <w:spacing w:line="360" w:lineRule="auto"/>
              <w:jc w:val="both"/>
              <w:rPr>
                <w:rFonts w:eastAsia="Calibri"/>
                <w:b/>
              </w:rPr>
            </w:pPr>
            <w:r w:rsidRPr="00D51597">
              <w:rPr>
                <w:rFonts w:eastAsia="Calibri"/>
                <w:b/>
              </w:rPr>
              <w:t xml:space="preserve">50 </w:t>
            </w:r>
          </w:p>
        </w:tc>
      </w:tr>
      <w:tr w:rsidR="00872B7F" w:rsidRPr="009A78FC" w14:paraId="37D3CBA6"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3B6F09D4" w14:textId="78E3A910" w:rsidR="00806324" w:rsidRPr="006966F7" w:rsidRDefault="00806324" w:rsidP="006966F7">
            <w:pPr>
              <w:spacing w:line="276" w:lineRule="auto"/>
              <w:jc w:val="both"/>
              <w:rPr>
                <w:sz w:val="24"/>
                <w:szCs w:val="24"/>
                <w:lang w:eastAsia="fr-FR"/>
              </w:rPr>
            </w:pPr>
            <w:r w:rsidRPr="006966F7">
              <w:rPr>
                <w:sz w:val="24"/>
                <w:szCs w:val="24"/>
                <w:lang w:eastAsia="fr-FR"/>
              </w:rPr>
              <w:t xml:space="preserve">Références dans le développement d’études, rapports, analyses ou travaux d’expertise en matière d’égalité genre. </w:t>
            </w:r>
          </w:p>
          <w:p w14:paraId="61E3BB12" w14:textId="53F93817" w:rsidR="00872B7F" w:rsidRPr="006966F7" w:rsidRDefault="00872B7F" w:rsidP="00BD456A">
            <w:pPr>
              <w:pStyle w:val="Paragraphedeliste"/>
              <w:numPr>
                <w:ilvl w:val="0"/>
                <w:numId w:val="23"/>
              </w:numPr>
              <w:spacing w:line="360" w:lineRule="auto"/>
              <w:jc w:val="both"/>
              <w:rPr>
                <w:rFonts w:eastAsia="Calibri"/>
                <w:bCs/>
                <w:sz w:val="24"/>
                <w:szCs w:val="24"/>
              </w:rPr>
            </w:pPr>
            <w:r w:rsidRPr="006966F7">
              <w:rPr>
                <w:rFonts w:eastAsia="Calibri"/>
                <w:b/>
              </w:rPr>
              <w:t xml:space="preserve"> </w:t>
            </w:r>
            <w:r w:rsidRPr="006966F7">
              <w:rPr>
                <w:rFonts w:eastAsia="Calibri"/>
                <w:bCs/>
                <w:sz w:val="24"/>
                <w:szCs w:val="24"/>
              </w:rPr>
              <w:t xml:space="preserve">Aucune référence : 0 point </w:t>
            </w:r>
          </w:p>
          <w:p w14:paraId="788C98AC" w14:textId="77777777" w:rsidR="00872B7F" w:rsidRPr="006966F7" w:rsidRDefault="00872B7F" w:rsidP="00BD456A">
            <w:pPr>
              <w:pStyle w:val="Paragraphedeliste"/>
              <w:numPr>
                <w:ilvl w:val="0"/>
                <w:numId w:val="23"/>
              </w:numPr>
              <w:spacing w:line="360" w:lineRule="auto"/>
              <w:jc w:val="both"/>
              <w:rPr>
                <w:rFonts w:eastAsia="Calibri"/>
                <w:bCs/>
                <w:sz w:val="24"/>
                <w:szCs w:val="24"/>
              </w:rPr>
            </w:pPr>
            <w:r w:rsidRPr="006966F7">
              <w:rPr>
                <w:rFonts w:eastAsia="Calibri"/>
                <w:bCs/>
                <w:sz w:val="24"/>
                <w:szCs w:val="24"/>
              </w:rPr>
              <w:t>Entre 1 et 3 références : 10 points</w:t>
            </w:r>
          </w:p>
          <w:p w14:paraId="44C9F758" w14:textId="77777777" w:rsidR="00872B7F" w:rsidRPr="00872B7F" w:rsidRDefault="00872B7F" w:rsidP="00BD456A">
            <w:pPr>
              <w:pStyle w:val="Paragraphedeliste"/>
              <w:numPr>
                <w:ilvl w:val="0"/>
                <w:numId w:val="23"/>
              </w:numPr>
              <w:spacing w:line="360" w:lineRule="auto"/>
              <w:jc w:val="both"/>
              <w:rPr>
                <w:rFonts w:eastAsia="Calibri"/>
                <w:b/>
              </w:rPr>
            </w:pPr>
            <w:r w:rsidRPr="006966F7">
              <w:rPr>
                <w:rFonts w:eastAsia="Calibri"/>
                <w:bCs/>
                <w:sz w:val="24"/>
                <w:szCs w:val="24"/>
              </w:rPr>
              <w:t>3 références et plus : 20 points</w:t>
            </w:r>
            <w:r w:rsidRPr="00872B7F">
              <w:rPr>
                <w:rFonts w:eastAsia="Calibri"/>
                <w:b/>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322C45C" w14:textId="77777777" w:rsidR="00872B7F" w:rsidRPr="004C6C13" w:rsidDel="00F05396" w:rsidRDefault="00872B7F" w:rsidP="00872B7F">
            <w:pPr>
              <w:spacing w:line="360" w:lineRule="auto"/>
              <w:jc w:val="both"/>
              <w:rPr>
                <w:rFonts w:eastAsia="Calibri"/>
                <w:b/>
              </w:rPr>
            </w:pPr>
            <w:r>
              <w:rPr>
                <w:rFonts w:eastAsia="Calibri"/>
                <w:b/>
              </w:rPr>
              <w:t>20</w:t>
            </w:r>
          </w:p>
        </w:tc>
      </w:tr>
      <w:tr w:rsidR="00872B7F" w:rsidRPr="009A78FC" w14:paraId="72A825D8" w14:textId="77777777" w:rsidTr="00872B7F">
        <w:tc>
          <w:tcPr>
            <w:tcW w:w="8075" w:type="dxa"/>
            <w:tcBorders>
              <w:top w:val="single" w:sz="4" w:space="0" w:color="auto"/>
              <w:left w:val="single" w:sz="4" w:space="0" w:color="auto"/>
              <w:bottom w:val="single" w:sz="4" w:space="0" w:color="auto"/>
              <w:right w:val="single" w:sz="4" w:space="0" w:color="auto"/>
            </w:tcBorders>
            <w:vAlign w:val="center"/>
            <w:hideMark/>
          </w:tcPr>
          <w:p w14:paraId="14858193" w14:textId="3E3FE235" w:rsidR="00E21758" w:rsidRPr="006966F7" w:rsidRDefault="00E21758" w:rsidP="006966F7">
            <w:pPr>
              <w:spacing w:line="276" w:lineRule="auto"/>
              <w:jc w:val="both"/>
              <w:rPr>
                <w:sz w:val="24"/>
                <w:szCs w:val="24"/>
                <w:lang w:eastAsia="fr-FR"/>
              </w:rPr>
            </w:pPr>
            <w:r w:rsidRPr="006966F7">
              <w:rPr>
                <w:sz w:val="24"/>
                <w:szCs w:val="24"/>
                <w:lang w:eastAsia="fr-FR"/>
              </w:rPr>
              <w:t>Références en matière de</w:t>
            </w:r>
            <w:r w:rsidR="007960ED">
              <w:rPr>
                <w:sz w:val="24"/>
                <w:szCs w:val="24"/>
                <w:lang w:eastAsia="fr-FR"/>
              </w:rPr>
              <w:t xml:space="preserve"> genre et climat </w:t>
            </w:r>
            <w:r w:rsidRPr="006966F7">
              <w:rPr>
                <w:sz w:val="24"/>
                <w:szCs w:val="24"/>
                <w:lang w:eastAsia="fr-FR"/>
              </w:rPr>
              <w:t xml:space="preserve">; </w:t>
            </w:r>
          </w:p>
          <w:p w14:paraId="366FEA6D" w14:textId="77777777" w:rsidR="00872B7F" w:rsidRPr="006966F7" w:rsidRDefault="00872B7F" w:rsidP="00BD456A">
            <w:pPr>
              <w:pStyle w:val="Paragraphedeliste"/>
              <w:numPr>
                <w:ilvl w:val="0"/>
                <w:numId w:val="23"/>
              </w:numPr>
              <w:spacing w:line="360" w:lineRule="auto"/>
              <w:jc w:val="both"/>
              <w:rPr>
                <w:rFonts w:eastAsia="Calibri"/>
                <w:bCs/>
                <w:sz w:val="24"/>
                <w:szCs w:val="24"/>
              </w:rPr>
            </w:pPr>
            <w:r w:rsidRPr="006966F7">
              <w:rPr>
                <w:rFonts w:eastAsia="Calibri"/>
                <w:bCs/>
                <w:sz w:val="24"/>
                <w:szCs w:val="24"/>
              </w:rPr>
              <w:t xml:space="preserve">Aucune référence : 0 point </w:t>
            </w:r>
          </w:p>
          <w:p w14:paraId="7E81387A" w14:textId="5ED591CF" w:rsidR="00872B7F" w:rsidRPr="006966F7" w:rsidRDefault="00872B7F" w:rsidP="00BD456A">
            <w:pPr>
              <w:pStyle w:val="Paragraphedeliste"/>
              <w:numPr>
                <w:ilvl w:val="0"/>
                <w:numId w:val="23"/>
              </w:numPr>
              <w:spacing w:line="360" w:lineRule="auto"/>
              <w:jc w:val="both"/>
              <w:rPr>
                <w:rFonts w:eastAsia="Calibri"/>
                <w:bCs/>
                <w:sz w:val="24"/>
                <w:szCs w:val="24"/>
              </w:rPr>
            </w:pPr>
            <w:r w:rsidRPr="006966F7">
              <w:rPr>
                <w:rFonts w:eastAsia="Calibri"/>
                <w:bCs/>
                <w:sz w:val="24"/>
                <w:szCs w:val="24"/>
              </w:rPr>
              <w:t>Entre 1 et 3 références : 1</w:t>
            </w:r>
            <w:r w:rsidR="00BA1B45">
              <w:rPr>
                <w:rFonts w:eastAsia="Calibri"/>
                <w:bCs/>
                <w:sz w:val="24"/>
                <w:szCs w:val="24"/>
              </w:rPr>
              <w:t>5</w:t>
            </w:r>
            <w:r w:rsidRPr="006966F7">
              <w:rPr>
                <w:rFonts w:eastAsia="Calibri"/>
                <w:bCs/>
                <w:sz w:val="24"/>
                <w:szCs w:val="24"/>
              </w:rPr>
              <w:t xml:space="preserve"> points</w:t>
            </w:r>
          </w:p>
          <w:p w14:paraId="3E609B34" w14:textId="42478B24" w:rsidR="00872B7F" w:rsidRPr="00872B7F" w:rsidRDefault="00872B7F" w:rsidP="00BD456A">
            <w:pPr>
              <w:pStyle w:val="Paragraphedeliste"/>
              <w:numPr>
                <w:ilvl w:val="0"/>
                <w:numId w:val="23"/>
              </w:numPr>
              <w:spacing w:line="360" w:lineRule="auto"/>
              <w:jc w:val="both"/>
              <w:rPr>
                <w:rFonts w:eastAsia="Calibri"/>
                <w:b/>
              </w:rPr>
            </w:pPr>
            <w:r w:rsidRPr="006966F7">
              <w:rPr>
                <w:rFonts w:eastAsia="Calibri"/>
                <w:bCs/>
                <w:sz w:val="24"/>
                <w:szCs w:val="24"/>
              </w:rPr>
              <w:t xml:space="preserve">3 références et plus : </w:t>
            </w:r>
            <w:r w:rsidR="00BA1B45">
              <w:rPr>
                <w:rFonts w:eastAsia="Calibri"/>
                <w:bCs/>
                <w:sz w:val="24"/>
                <w:szCs w:val="24"/>
              </w:rPr>
              <w:t>3</w:t>
            </w:r>
            <w:r w:rsidRPr="006966F7">
              <w:rPr>
                <w:rFonts w:eastAsia="Calibri"/>
                <w:bCs/>
                <w:sz w:val="24"/>
                <w:szCs w:val="24"/>
              </w:rPr>
              <w:t>0 points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B2EEF89" w14:textId="4DB1AEDB" w:rsidR="00872B7F" w:rsidRPr="00D44DD0" w:rsidDel="00F05396" w:rsidRDefault="007960ED" w:rsidP="00872B7F">
            <w:pPr>
              <w:spacing w:line="360" w:lineRule="auto"/>
              <w:jc w:val="both"/>
              <w:rPr>
                <w:rFonts w:eastAsia="Calibri"/>
                <w:b/>
              </w:rPr>
            </w:pPr>
            <w:r>
              <w:rPr>
                <w:rFonts w:eastAsia="Calibri"/>
                <w:b/>
              </w:rPr>
              <w:t>30</w:t>
            </w:r>
          </w:p>
        </w:tc>
      </w:tr>
    </w:tbl>
    <w:p w14:paraId="396538E4" w14:textId="77777777" w:rsidR="0002582E" w:rsidRDefault="0002582E" w:rsidP="0002582E">
      <w:pPr>
        <w:spacing w:line="360" w:lineRule="auto"/>
        <w:jc w:val="both"/>
        <w:rPr>
          <w:sz w:val="24"/>
          <w:szCs w:val="24"/>
          <w:u w:val="single"/>
        </w:rPr>
      </w:pPr>
    </w:p>
    <w:p w14:paraId="180EF144" w14:textId="0501F15F" w:rsidR="00171892" w:rsidRPr="009A78FC" w:rsidRDefault="00171892" w:rsidP="00BD456A">
      <w:pPr>
        <w:pStyle w:val="Paragraphedeliste"/>
        <w:numPr>
          <w:ilvl w:val="2"/>
          <w:numId w:val="17"/>
        </w:numPr>
        <w:jc w:val="both"/>
        <w:rPr>
          <w:b/>
          <w:sz w:val="24"/>
          <w:szCs w:val="24"/>
        </w:rPr>
      </w:pPr>
      <w:r w:rsidRPr="009A78FC">
        <w:rPr>
          <w:b/>
          <w:sz w:val="24"/>
          <w:szCs w:val="24"/>
        </w:rPr>
        <w:t>Evaluation des offres financières</w:t>
      </w:r>
    </w:p>
    <w:p w14:paraId="104A7873" w14:textId="6E12B167" w:rsidR="00171892" w:rsidRPr="009404D4" w:rsidRDefault="00171892" w:rsidP="00BD456A">
      <w:pPr>
        <w:pStyle w:val="Paragraphedeliste"/>
        <w:numPr>
          <w:ilvl w:val="0"/>
          <w:numId w:val="14"/>
        </w:numPr>
        <w:spacing w:line="360" w:lineRule="auto"/>
        <w:jc w:val="both"/>
        <w:rPr>
          <w:sz w:val="24"/>
          <w:szCs w:val="24"/>
        </w:rPr>
      </w:pPr>
      <w:r w:rsidRPr="009404D4">
        <w:rPr>
          <w:sz w:val="24"/>
          <w:szCs w:val="24"/>
        </w:rPr>
        <w:t>Toute offre n’ayant pas obtenu la note technique minimale requise (700 points) ne sera pas retenue pour l’évaluation financière.</w:t>
      </w:r>
    </w:p>
    <w:p w14:paraId="13FB96D7" w14:textId="5E2CABE9" w:rsidR="00171892" w:rsidRPr="009404D4" w:rsidRDefault="00171892" w:rsidP="00BD456A">
      <w:pPr>
        <w:pStyle w:val="Paragraphedeliste"/>
        <w:numPr>
          <w:ilvl w:val="0"/>
          <w:numId w:val="14"/>
        </w:numPr>
        <w:spacing w:line="360" w:lineRule="auto"/>
        <w:jc w:val="both"/>
        <w:rPr>
          <w:sz w:val="24"/>
          <w:szCs w:val="24"/>
        </w:rPr>
      </w:pPr>
      <w:r w:rsidRPr="009404D4">
        <w:rPr>
          <w:sz w:val="24"/>
          <w:szCs w:val="24"/>
        </w:rPr>
        <w:t>A l’offre financière la moins onéreuse (parmi les offres retenues) est attribuée la note maximale de 1000 points.</w:t>
      </w:r>
    </w:p>
    <w:p w14:paraId="35D67F63" w14:textId="72CBEE45" w:rsidR="00171892" w:rsidRPr="009404D4" w:rsidRDefault="00171892" w:rsidP="00BD456A">
      <w:pPr>
        <w:pStyle w:val="Paragraphedeliste"/>
        <w:numPr>
          <w:ilvl w:val="0"/>
          <w:numId w:val="14"/>
        </w:numPr>
        <w:spacing w:line="360" w:lineRule="auto"/>
        <w:jc w:val="both"/>
        <w:rPr>
          <w:sz w:val="24"/>
          <w:szCs w:val="24"/>
        </w:rPr>
      </w:pPr>
      <w:r w:rsidRPr="009404D4">
        <w:rPr>
          <w:sz w:val="24"/>
          <w:szCs w:val="24"/>
        </w:rPr>
        <w:t>La note financière d’une offre n est calculée comme suit :</w:t>
      </w:r>
    </w:p>
    <w:p w14:paraId="00E1C52C" w14:textId="77777777" w:rsidR="00171892" w:rsidRPr="009A78FC" w:rsidRDefault="00171892" w:rsidP="009A78FC">
      <w:pPr>
        <w:spacing w:line="360" w:lineRule="auto"/>
        <w:ind w:left="360"/>
        <w:jc w:val="both"/>
        <w:rPr>
          <w:b/>
          <w:sz w:val="24"/>
          <w:szCs w:val="24"/>
        </w:rPr>
      </w:pPr>
      <w:proofErr w:type="spellStart"/>
      <w:r w:rsidRPr="009A78FC">
        <w:rPr>
          <w:b/>
          <w:sz w:val="24"/>
          <w:szCs w:val="24"/>
        </w:rPr>
        <w:t>NFn</w:t>
      </w:r>
      <w:proofErr w:type="spellEnd"/>
      <w:r w:rsidRPr="009A78FC">
        <w:rPr>
          <w:b/>
          <w:sz w:val="24"/>
          <w:szCs w:val="24"/>
        </w:rPr>
        <w:t xml:space="preserve"> = (</w:t>
      </w:r>
      <w:proofErr w:type="spellStart"/>
      <w:r w:rsidRPr="009A78FC">
        <w:rPr>
          <w:b/>
          <w:sz w:val="24"/>
          <w:szCs w:val="24"/>
        </w:rPr>
        <w:t>OFmo</w:t>
      </w:r>
      <w:proofErr w:type="spellEnd"/>
      <w:r w:rsidRPr="009A78FC">
        <w:rPr>
          <w:b/>
          <w:sz w:val="24"/>
          <w:szCs w:val="24"/>
        </w:rPr>
        <w:t xml:space="preserve"> / </w:t>
      </w:r>
      <w:proofErr w:type="spellStart"/>
      <w:r w:rsidRPr="009A78FC">
        <w:rPr>
          <w:b/>
          <w:sz w:val="24"/>
          <w:szCs w:val="24"/>
        </w:rPr>
        <w:t>OFn</w:t>
      </w:r>
      <w:proofErr w:type="spellEnd"/>
      <w:r w:rsidRPr="009A78FC">
        <w:rPr>
          <w:b/>
          <w:sz w:val="24"/>
          <w:szCs w:val="24"/>
        </w:rPr>
        <w:t>) * 1000</w:t>
      </w:r>
    </w:p>
    <w:p w14:paraId="7055D20B" w14:textId="77777777" w:rsidR="00171892" w:rsidRPr="009A78FC" w:rsidRDefault="00171892" w:rsidP="009A78FC">
      <w:pPr>
        <w:spacing w:line="360" w:lineRule="auto"/>
        <w:ind w:left="360"/>
        <w:jc w:val="both"/>
        <w:rPr>
          <w:sz w:val="24"/>
          <w:szCs w:val="24"/>
        </w:rPr>
      </w:pPr>
      <w:proofErr w:type="spellStart"/>
      <w:r w:rsidRPr="009A78FC">
        <w:rPr>
          <w:sz w:val="24"/>
          <w:szCs w:val="24"/>
        </w:rPr>
        <w:t>NFn</w:t>
      </w:r>
      <w:proofErr w:type="spellEnd"/>
      <w:r w:rsidRPr="009A78FC">
        <w:rPr>
          <w:sz w:val="24"/>
          <w:szCs w:val="24"/>
        </w:rPr>
        <w:t xml:space="preserve"> = note financière de l’offre (sur 1000 points)</w:t>
      </w:r>
    </w:p>
    <w:p w14:paraId="2767DE85" w14:textId="77777777" w:rsidR="00171892" w:rsidRPr="009A78FC" w:rsidRDefault="00171892" w:rsidP="009A78FC">
      <w:pPr>
        <w:spacing w:line="360" w:lineRule="auto"/>
        <w:ind w:left="360"/>
        <w:jc w:val="both"/>
        <w:rPr>
          <w:sz w:val="24"/>
          <w:szCs w:val="24"/>
        </w:rPr>
      </w:pPr>
      <w:proofErr w:type="spellStart"/>
      <w:r w:rsidRPr="009A78FC">
        <w:rPr>
          <w:sz w:val="24"/>
          <w:szCs w:val="24"/>
        </w:rPr>
        <w:t>OFmo</w:t>
      </w:r>
      <w:proofErr w:type="spellEnd"/>
      <w:r w:rsidRPr="009A78FC">
        <w:rPr>
          <w:sz w:val="24"/>
          <w:szCs w:val="24"/>
        </w:rPr>
        <w:t xml:space="preserve"> = montant de l’offre la moins onéreuse</w:t>
      </w:r>
    </w:p>
    <w:p w14:paraId="56D05055" w14:textId="77777777" w:rsidR="00171892" w:rsidRPr="009A78FC" w:rsidRDefault="00171892" w:rsidP="009A78FC">
      <w:pPr>
        <w:spacing w:line="360" w:lineRule="auto"/>
        <w:ind w:left="360"/>
        <w:jc w:val="both"/>
        <w:rPr>
          <w:sz w:val="24"/>
          <w:szCs w:val="24"/>
        </w:rPr>
      </w:pPr>
      <w:proofErr w:type="spellStart"/>
      <w:r w:rsidRPr="009A78FC">
        <w:rPr>
          <w:sz w:val="24"/>
          <w:szCs w:val="24"/>
        </w:rPr>
        <w:t>OFn</w:t>
      </w:r>
      <w:proofErr w:type="spellEnd"/>
      <w:r w:rsidRPr="009A78FC">
        <w:rPr>
          <w:sz w:val="24"/>
          <w:szCs w:val="24"/>
        </w:rPr>
        <w:t xml:space="preserve"> = montant de l’offre n</w:t>
      </w:r>
    </w:p>
    <w:p w14:paraId="672DF1CB" w14:textId="77777777" w:rsidR="00171892" w:rsidRPr="009A78FC" w:rsidRDefault="00171892" w:rsidP="009A78FC">
      <w:pPr>
        <w:spacing w:line="360" w:lineRule="auto"/>
        <w:ind w:left="360"/>
        <w:jc w:val="both"/>
        <w:rPr>
          <w:b/>
          <w:sz w:val="24"/>
          <w:szCs w:val="24"/>
        </w:rPr>
      </w:pPr>
      <w:r w:rsidRPr="009A78FC">
        <w:rPr>
          <w:b/>
          <w:sz w:val="24"/>
          <w:szCs w:val="24"/>
        </w:rPr>
        <w:t>11.2.3 Sélection de la meilleure offre :</w:t>
      </w:r>
    </w:p>
    <w:p w14:paraId="68A1F1AE" w14:textId="77777777" w:rsidR="00171892" w:rsidRPr="009A78FC" w:rsidRDefault="00171892" w:rsidP="009A78FC">
      <w:pPr>
        <w:spacing w:line="360" w:lineRule="auto"/>
        <w:ind w:left="360"/>
        <w:jc w:val="both"/>
        <w:rPr>
          <w:sz w:val="24"/>
          <w:szCs w:val="24"/>
        </w:rPr>
      </w:pPr>
      <w:r w:rsidRPr="009A78FC">
        <w:rPr>
          <w:sz w:val="24"/>
          <w:szCs w:val="24"/>
        </w:rPr>
        <w:t>La note globale d’une offre n est calculée comme suit :</w:t>
      </w:r>
    </w:p>
    <w:p w14:paraId="27C1807F" w14:textId="77777777" w:rsidR="00171892" w:rsidRPr="009A78FC" w:rsidRDefault="00171892" w:rsidP="009A78FC">
      <w:pPr>
        <w:spacing w:line="360" w:lineRule="auto"/>
        <w:ind w:left="360"/>
        <w:jc w:val="both"/>
        <w:rPr>
          <w:b/>
          <w:sz w:val="24"/>
          <w:szCs w:val="24"/>
        </w:rPr>
      </w:pPr>
      <w:proofErr w:type="spellStart"/>
      <w:r w:rsidRPr="009A78FC">
        <w:rPr>
          <w:b/>
          <w:sz w:val="24"/>
          <w:szCs w:val="24"/>
        </w:rPr>
        <w:t>NGn</w:t>
      </w:r>
      <w:proofErr w:type="spellEnd"/>
      <w:r w:rsidRPr="009A78FC">
        <w:rPr>
          <w:b/>
          <w:sz w:val="24"/>
          <w:szCs w:val="24"/>
        </w:rPr>
        <w:t xml:space="preserve"> = 70% * </w:t>
      </w:r>
      <w:proofErr w:type="spellStart"/>
      <w:r w:rsidRPr="009A78FC">
        <w:rPr>
          <w:b/>
          <w:sz w:val="24"/>
          <w:szCs w:val="24"/>
        </w:rPr>
        <w:t>NTn</w:t>
      </w:r>
      <w:proofErr w:type="spellEnd"/>
      <w:r w:rsidRPr="009A78FC">
        <w:rPr>
          <w:b/>
          <w:sz w:val="24"/>
          <w:szCs w:val="24"/>
        </w:rPr>
        <w:t xml:space="preserve"> + 30% * </w:t>
      </w:r>
      <w:proofErr w:type="spellStart"/>
      <w:r w:rsidRPr="009A78FC">
        <w:rPr>
          <w:b/>
          <w:sz w:val="24"/>
          <w:szCs w:val="24"/>
        </w:rPr>
        <w:t>NFn</w:t>
      </w:r>
      <w:proofErr w:type="spellEnd"/>
    </w:p>
    <w:p w14:paraId="456B4B46" w14:textId="77777777" w:rsidR="00171892" w:rsidRPr="009A78FC" w:rsidRDefault="00171892" w:rsidP="009A78FC">
      <w:pPr>
        <w:spacing w:line="360" w:lineRule="auto"/>
        <w:ind w:left="360"/>
        <w:jc w:val="both"/>
        <w:rPr>
          <w:sz w:val="24"/>
          <w:szCs w:val="24"/>
        </w:rPr>
      </w:pPr>
      <w:proofErr w:type="spellStart"/>
      <w:r w:rsidRPr="009A78FC">
        <w:rPr>
          <w:sz w:val="24"/>
          <w:szCs w:val="24"/>
        </w:rPr>
        <w:t>NGn</w:t>
      </w:r>
      <w:proofErr w:type="spellEnd"/>
      <w:r w:rsidRPr="009A78FC">
        <w:rPr>
          <w:sz w:val="24"/>
          <w:szCs w:val="24"/>
        </w:rPr>
        <w:t xml:space="preserve"> = note globale de l’offre n</w:t>
      </w:r>
    </w:p>
    <w:p w14:paraId="40338CAE" w14:textId="77777777" w:rsidR="00171892" w:rsidRPr="009A78FC" w:rsidRDefault="00171892" w:rsidP="009A78FC">
      <w:pPr>
        <w:spacing w:line="360" w:lineRule="auto"/>
        <w:ind w:left="360"/>
        <w:jc w:val="both"/>
        <w:rPr>
          <w:sz w:val="24"/>
          <w:szCs w:val="24"/>
        </w:rPr>
      </w:pPr>
      <w:proofErr w:type="spellStart"/>
      <w:r w:rsidRPr="009A78FC">
        <w:rPr>
          <w:sz w:val="24"/>
          <w:szCs w:val="24"/>
        </w:rPr>
        <w:t>NTn</w:t>
      </w:r>
      <w:proofErr w:type="spellEnd"/>
      <w:r w:rsidRPr="009A78FC">
        <w:rPr>
          <w:sz w:val="24"/>
          <w:szCs w:val="24"/>
        </w:rPr>
        <w:t xml:space="preserve"> = note technique de l’offre n (700 po</w:t>
      </w:r>
      <w:r w:rsidRPr="00B774F5">
        <w:rPr>
          <w:sz w:val="24"/>
          <w:szCs w:val="24"/>
        </w:rPr>
        <w:t xml:space="preserve">ints </w:t>
      </w:r>
      <w:r w:rsidRPr="00B774F5">
        <w:rPr>
          <w:color w:val="222222"/>
          <w:sz w:val="24"/>
          <w:szCs w:val="24"/>
          <w:shd w:val="clear" w:color="auto" w:fill="FFFFFF"/>
        </w:rPr>
        <w:t>≤</w:t>
      </w:r>
      <w:r w:rsidRPr="00B774F5">
        <w:rPr>
          <w:sz w:val="24"/>
          <w:szCs w:val="24"/>
        </w:rPr>
        <w:t>NTn</w:t>
      </w:r>
      <w:r w:rsidRPr="00B774F5">
        <w:rPr>
          <w:color w:val="222222"/>
          <w:sz w:val="24"/>
          <w:szCs w:val="24"/>
          <w:shd w:val="clear" w:color="auto" w:fill="FFFFFF"/>
        </w:rPr>
        <w:t>≤</w:t>
      </w:r>
      <w:r w:rsidRPr="00B774F5">
        <w:rPr>
          <w:sz w:val="24"/>
          <w:szCs w:val="24"/>
        </w:rPr>
        <w:t>1000 points</w:t>
      </w:r>
      <w:r w:rsidRPr="009A78FC">
        <w:rPr>
          <w:sz w:val="24"/>
          <w:szCs w:val="24"/>
        </w:rPr>
        <w:t>)</w:t>
      </w:r>
    </w:p>
    <w:p w14:paraId="14A8B74C" w14:textId="77777777" w:rsidR="00171892" w:rsidRPr="009A78FC" w:rsidRDefault="00171892" w:rsidP="009A78FC">
      <w:pPr>
        <w:spacing w:line="360" w:lineRule="auto"/>
        <w:ind w:left="360"/>
        <w:jc w:val="both"/>
        <w:rPr>
          <w:sz w:val="24"/>
          <w:szCs w:val="24"/>
        </w:rPr>
      </w:pPr>
      <w:proofErr w:type="spellStart"/>
      <w:r w:rsidRPr="009A78FC">
        <w:rPr>
          <w:sz w:val="24"/>
          <w:szCs w:val="24"/>
        </w:rPr>
        <w:t>NFn</w:t>
      </w:r>
      <w:proofErr w:type="spellEnd"/>
      <w:r w:rsidRPr="009A78FC">
        <w:rPr>
          <w:sz w:val="24"/>
          <w:szCs w:val="24"/>
        </w:rPr>
        <w:t xml:space="preserve"> = note financière de l’offre n</w:t>
      </w:r>
    </w:p>
    <w:p w14:paraId="278C880C" w14:textId="77777777" w:rsidR="00171892" w:rsidRPr="009A78FC" w:rsidRDefault="00171892" w:rsidP="009A78FC">
      <w:pPr>
        <w:spacing w:line="360" w:lineRule="auto"/>
        <w:ind w:left="360"/>
        <w:jc w:val="both"/>
        <w:rPr>
          <w:sz w:val="24"/>
          <w:szCs w:val="24"/>
        </w:rPr>
      </w:pPr>
      <w:r w:rsidRPr="009A78FC">
        <w:rPr>
          <w:sz w:val="24"/>
          <w:szCs w:val="24"/>
        </w:rPr>
        <w:t xml:space="preserve">L’offre n retenue sera celle qui aura obtenu la meilleure note globale </w:t>
      </w:r>
      <w:proofErr w:type="spellStart"/>
      <w:r w:rsidRPr="009A78FC">
        <w:rPr>
          <w:sz w:val="24"/>
          <w:szCs w:val="24"/>
        </w:rPr>
        <w:t>NGn</w:t>
      </w:r>
      <w:proofErr w:type="spellEnd"/>
    </w:p>
    <w:p w14:paraId="5333A0CB" w14:textId="2223AA72" w:rsidR="00ED72C3" w:rsidRPr="008D6E68" w:rsidRDefault="00171892" w:rsidP="003C71FE">
      <w:pPr>
        <w:rPr>
          <w:sz w:val="24"/>
          <w:szCs w:val="24"/>
        </w:rPr>
      </w:pPr>
      <w:r w:rsidRPr="009A78FC">
        <w:rPr>
          <w:sz w:val="24"/>
          <w:szCs w:val="24"/>
        </w:rPr>
        <w:t>L’évaluation des offres financières sera basée sur le montant total de l’offre en Hors Taxes.</w:t>
      </w:r>
    </w:p>
    <w:sectPr w:rsidR="00ED72C3" w:rsidRPr="008D6E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2D67" w14:textId="77777777" w:rsidR="00A86B52" w:rsidRDefault="00A86B52" w:rsidP="00173CE3">
      <w:pPr>
        <w:spacing w:after="0" w:line="240" w:lineRule="auto"/>
      </w:pPr>
      <w:r>
        <w:separator/>
      </w:r>
    </w:p>
  </w:endnote>
  <w:endnote w:type="continuationSeparator" w:id="0">
    <w:p w14:paraId="74931336" w14:textId="77777777" w:rsidR="00A86B52" w:rsidRDefault="00A86B52" w:rsidP="0017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ight">
    <w:altName w:val="Century Gothic"/>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26880"/>
      <w:docPartObj>
        <w:docPartGallery w:val="Page Numbers (Bottom of Page)"/>
        <w:docPartUnique/>
      </w:docPartObj>
    </w:sdtPr>
    <w:sdtEndPr/>
    <w:sdtContent>
      <w:p w14:paraId="181A7A6D" w14:textId="42777D74" w:rsidR="00B35622" w:rsidRDefault="00B35622">
        <w:pPr>
          <w:pStyle w:val="Pieddepage"/>
          <w:jc w:val="right"/>
        </w:pPr>
        <w:r>
          <w:fldChar w:fldCharType="begin"/>
        </w:r>
        <w:r>
          <w:instrText>PAGE   \* MERGEFORMAT</w:instrText>
        </w:r>
        <w:r>
          <w:fldChar w:fldCharType="separate"/>
        </w:r>
        <w:r>
          <w:rPr>
            <w:noProof/>
          </w:rPr>
          <w:t>1</w:t>
        </w:r>
        <w:r>
          <w:fldChar w:fldCharType="end"/>
        </w:r>
      </w:p>
    </w:sdtContent>
  </w:sdt>
  <w:p w14:paraId="5207C27F" w14:textId="77777777" w:rsidR="00B35622" w:rsidRDefault="00B35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7385" w14:textId="77777777" w:rsidR="00A86B52" w:rsidRDefault="00A86B52" w:rsidP="00173CE3">
      <w:pPr>
        <w:spacing w:after="0" w:line="240" w:lineRule="auto"/>
      </w:pPr>
      <w:r>
        <w:separator/>
      </w:r>
    </w:p>
  </w:footnote>
  <w:footnote w:type="continuationSeparator" w:id="0">
    <w:p w14:paraId="11A10463" w14:textId="77777777" w:rsidR="00A86B52" w:rsidRDefault="00A86B52" w:rsidP="00173CE3">
      <w:pPr>
        <w:spacing w:after="0" w:line="240" w:lineRule="auto"/>
      </w:pPr>
      <w:r>
        <w:continuationSeparator/>
      </w:r>
    </w:p>
  </w:footnote>
  <w:footnote w:id="1">
    <w:p w14:paraId="38365D28" w14:textId="669EBB63" w:rsidR="00B35622" w:rsidRPr="005F4500" w:rsidRDefault="00B35622">
      <w:pPr>
        <w:pStyle w:val="Notedebasdepage"/>
      </w:pPr>
      <w:r>
        <w:rPr>
          <w:rStyle w:val="Appelnotedebasdep"/>
        </w:rPr>
        <w:footnoteRef/>
      </w:r>
      <w:r>
        <w:t xml:space="preserve"> Tous les rapports disponibles sur le diagnostic du bilan de réalisation de la première CDN seront remis au prestataire de service.</w:t>
      </w:r>
    </w:p>
  </w:footnote>
  <w:footnote w:id="2">
    <w:p w14:paraId="15C6922D" w14:textId="3DF9B69A" w:rsidR="00B35622" w:rsidRPr="005F4500" w:rsidRDefault="00B35622">
      <w:pPr>
        <w:pStyle w:val="Notedebasdepage"/>
      </w:pPr>
      <w:r>
        <w:rPr>
          <w:rStyle w:val="Appelnotedebasdep"/>
        </w:rPr>
        <w:footnoteRef/>
      </w:r>
      <w:r>
        <w:t xml:space="preserve"> </w:t>
      </w:r>
      <w:r w:rsidRPr="005F4500">
        <w:t xml:space="preserve">Merci de vous référer </w:t>
      </w:r>
      <w:r>
        <w:t>à</w:t>
      </w:r>
      <w:r w:rsidRPr="005F4500">
        <w:t xml:space="preserve"> l</w:t>
      </w:r>
      <w:r>
        <w:t xml:space="preserve">a section 2.3 sur le renforcement de capacité pour plus de détail. </w:t>
      </w:r>
    </w:p>
  </w:footnote>
  <w:footnote w:id="3">
    <w:p w14:paraId="4EDFAA5C" w14:textId="09C6AE38" w:rsidR="00B35622" w:rsidRPr="006966F7" w:rsidRDefault="00B35622">
      <w:pPr>
        <w:pStyle w:val="Notedebasdepage"/>
      </w:pPr>
      <w:r>
        <w:rPr>
          <w:rStyle w:val="Appelnotedebasdep"/>
        </w:rPr>
        <w:footnoteRef/>
      </w:r>
      <w:r>
        <w:t xml:space="preserve"> </w:t>
      </w:r>
      <w:r w:rsidRPr="006966F7">
        <w:t xml:space="preserve">Par référence il faudra mentionner </w:t>
      </w:r>
      <w:r>
        <w:t>tout document stratégique pertinent a la mission (</w:t>
      </w:r>
      <w:r w:rsidRPr="006966F7">
        <w:t xml:space="preserve">Etude stratégique, rapport national, système national, </w:t>
      </w:r>
      <w:proofErr w:type="gramStart"/>
      <w:r w:rsidRPr="006966F7">
        <w:t>…)</w:t>
      </w:r>
      <w:r>
        <w:t>et</w:t>
      </w:r>
      <w:proofErr w:type="gramEnd"/>
      <w:r>
        <w:t xml:space="preserve"> démontrant un apport a la politique d’atténuation dans le secteur pertinent.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2AF"/>
    <w:multiLevelType w:val="hybridMultilevel"/>
    <w:tmpl w:val="EC620032"/>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78D604F"/>
    <w:multiLevelType w:val="hybridMultilevel"/>
    <w:tmpl w:val="EA4C0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8CB"/>
    <w:multiLevelType w:val="hybridMultilevel"/>
    <w:tmpl w:val="14A8F918"/>
    <w:lvl w:ilvl="0" w:tplc="040C000D">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3" w15:restartNumberingAfterBreak="0">
    <w:nsid w:val="0BCA79CB"/>
    <w:multiLevelType w:val="hybridMultilevel"/>
    <w:tmpl w:val="832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4768"/>
    <w:multiLevelType w:val="hybridMultilevel"/>
    <w:tmpl w:val="5E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32A9"/>
    <w:multiLevelType w:val="hybridMultilevel"/>
    <w:tmpl w:val="8A2ADB80"/>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FC22D20"/>
    <w:multiLevelType w:val="hybridMultilevel"/>
    <w:tmpl w:val="CB9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C67C2"/>
    <w:multiLevelType w:val="hybridMultilevel"/>
    <w:tmpl w:val="A4969E62"/>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EB36E80"/>
    <w:multiLevelType w:val="hybridMultilevel"/>
    <w:tmpl w:val="D35E766C"/>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4743BDC"/>
    <w:multiLevelType w:val="hybridMultilevel"/>
    <w:tmpl w:val="5AEA4E3A"/>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4E46886"/>
    <w:multiLevelType w:val="hybridMultilevel"/>
    <w:tmpl w:val="6720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E522A"/>
    <w:multiLevelType w:val="hybridMultilevel"/>
    <w:tmpl w:val="A378BDF8"/>
    <w:lvl w:ilvl="0" w:tplc="D35E4BF4">
      <w:start w:val="5"/>
      <w:numFmt w:val="bullet"/>
      <w:lvlText w:val="-"/>
      <w:lvlJc w:val="left"/>
      <w:pPr>
        <w:ind w:left="720" w:hanging="360"/>
      </w:pPr>
      <w:rPr>
        <w:rFonts w:ascii="Frutiger Light" w:eastAsia="Times New Roman" w:hAnsi="Frutiger Light"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1B5399C"/>
    <w:multiLevelType w:val="hybridMultilevel"/>
    <w:tmpl w:val="99C46FC6"/>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4973109"/>
    <w:multiLevelType w:val="hybridMultilevel"/>
    <w:tmpl w:val="E840858E"/>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6E05D24"/>
    <w:multiLevelType w:val="hybridMultilevel"/>
    <w:tmpl w:val="EE98D5D6"/>
    <w:lvl w:ilvl="0" w:tplc="10000019">
      <w:start w:val="1"/>
      <w:numFmt w:val="lowerLetter"/>
      <w:lvlText w:val="%1."/>
      <w:lvlJc w:val="left"/>
      <w:pPr>
        <w:ind w:left="720"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1A936A8"/>
    <w:multiLevelType w:val="multilevel"/>
    <w:tmpl w:val="F72CF72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F2050"/>
    <w:multiLevelType w:val="hybridMultilevel"/>
    <w:tmpl w:val="AA82C4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B22141D"/>
    <w:multiLevelType w:val="hybridMultilevel"/>
    <w:tmpl w:val="BAC4965C"/>
    <w:lvl w:ilvl="0" w:tplc="D35E4BF4">
      <w:start w:val="5"/>
      <w:numFmt w:val="bullet"/>
      <w:lvlText w:val="-"/>
      <w:lvlJc w:val="left"/>
      <w:pPr>
        <w:ind w:left="720" w:hanging="360"/>
      </w:pPr>
      <w:rPr>
        <w:rFonts w:ascii="Frutiger Light" w:eastAsia="Times New Roman" w:hAnsi="Frutiger Light"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D741A19"/>
    <w:multiLevelType w:val="hybridMultilevel"/>
    <w:tmpl w:val="E93E8116"/>
    <w:lvl w:ilvl="0" w:tplc="D35E4BF4">
      <w:start w:val="5"/>
      <w:numFmt w:val="bullet"/>
      <w:lvlText w:val="-"/>
      <w:lvlJc w:val="left"/>
      <w:pPr>
        <w:ind w:left="720" w:hanging="360"/>
      </w:pPr>
      <w:rPr>
        <w:rFonts w:ascii="Frutiger Light" w:eastAsia="Times New Roman" w:hAnsi="Frutige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11474"/>
    <w:multiLevelType w:val="hybridMultilevel"/>
    <w:tmpl w:val="BE60037C"/>
    <w:lvl w:ilvl="0" w:tplc="D35E4BF4">
      <w:start w:val="5"/>
      <w:numFmt w:val="bullet"/>
      <w:lvlText w:val="-"/>
      <w:lvlJc w:val="left"/>
      <w:pPr>
        <w:ind w:left="1080" w:hanging="360"/>
      </w:pPr>
      <w:rPr>
        <w:rFonts w:ascii="Frutiger Light" w:eastAsia="Times New Roman" w:hAnsi="Frutiger Light"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6ED77768"/>
    <w:multiLevelType w:val="hybridMultilevel"/>
    <w:tmpl w:val="20081866"/>
    <w:lvl w:ilvl="0" w:tplc="D35E4BF4">
      <w:start w:val="5"/>
      <w:numFmt w:val="bullet"/>
      <w:lvlText w:val="-"/>
      <w:lvlJc w:val="left"/>
      <w:pPr>
        <w:ind w:left="1080" w:hanging="360"/>
      </w:pPr>
      <w:rPr>
        <w:rFonts w:ascii="Frutiger Light" w:eastAsia="Times New Roman" w:hAnsi="Frutiger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432BC5"/>
    <w:multiLevelType w:val="hybridMultilevel"/>
    <w:tmpl w:val="BF00180A"/>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6A74540"/>
    <w:multiLevelType w:val="hybridMultilevel"/>
    <w:tmpl w:val="0DFCDFB6"/>
    <w:lvl w:ilvl="0" w:tplc="EE70BD46">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1"/>
  </w:num>
  <w:num w:numId="8">
    <w:abstractNumId w:val="17"/>
  </w:num>
  <w:num w:numId="9">
    <w:abstractNumId w:val="14"/>
  </w:num>
  <w:num w:numId="10">
    <w:abstractNumId w:val="9"/>
  </w:num>
  <w:num w:numId="11">
    <w:abstractNumId w:val="12"/>
  </w:num>
  <w:num w:numId="12">
    <w:abstractNumId w:val="8"/>
  </w:num>
  <w:num w:numId="13">
    <w:abstractNumId w:val="7"/>
  </w:num>
  <w:num w:numId="14">
    <w:abstractNumId w:val="19"/>
  </w:num>
  <w:num w:numId="15">
    <w:abstractNumId w:val="21"/>
  </w:num>
  <w:num w:numId="16">
    <w:abstractNumId w:val="4"/>
  </w:num>
  <w:num w:numId="17">
    <w:abstractNumId w:val="22"/>
  </w:num>
  <w:num w:numId="18">
    <w:abstractNumId w:val="18"/>
  </w:num>
  <w:num w:numId="19">
    <w:abstractNumId w:val="5"/>
  </w:num>
  <w:num w:numId="20">
    <w:abstractNumId w:val="20"/>
  </w:num>
  <w:num w:numId="21">
    <w:abstractNumId w:val="3"/>
  </w:num>
  <w:num w:numId="22">
    <w:abstractNumId w:val="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A8"/>
    <w:rsid w:val="0000020C"/>
    <w:rsid w:val="00001825"/>
    <w:rsid w:val="00002759"/>
    <w:rsid w:val="00003EF2"/>
    <w:rsid w:val="000041FB"/>
    <w:rsid w:val="00004B9A"/>
    <w:rsid w:val="00004CB0"/>
    <w:rsid w:val="00006214"/>
    <w:rsid w:val="000066EC"/>
    <w:rsid w:val="0001053E"/>
    <w:rsid w:val="00010A79"/>
    <w:rsid w:val="00010A9E"/>
    <w:rsid w:val="00010EA9"/>
    <w:rsid w:val="000132D5"/>
    <w:rsid w:val="0001492F"/>
    <w:rsid w:val="00016EFB"/>
    <w:rsid w:val="0002245C"/>
    <w:rsid w:val="00022F76"/>
    <w:rsid w:val="00023E34"/>
    <w:rsid w:val="0002582E"/>
    <w:rsid w:val="00025C18"/>
    <w:rsid w:val="000275FB"/>
    <w:rsid w:val="00031F78"/>
    <w:rsid w:val="0003311E"/>
    <w:rsid w:val="00033FF4"/>
    <w:rsid w:val="0003489B"/>
    <w:rsid w:val="00034B8D"/>
    <w:rsid w:val="00035E20"/>
    <w:rsid w:val="00036995"/>
    <w:rsid w:val="00037C1A"/>
    <w:rsid w:val="00040E54"/>
    <w:rsid w:val="00041899"/>
    <w:rsid w:val="00042882"/>
    <w:rsid w:val="00042F2F"/>
    <w:rsid w:val="0004377A"/>
    <w:rsid w:val="000452E4"/>
    <w:rsid w:val="00045D99"/>
    <w:rsid w:val="00050074"/>
    <w:rsid w:val="00050296"/>
    <w:rsid w:val="00050593"/>
    <w:rsid w:val="000514BE"/>
    <w:rsid w:val="00051917"/>
    <w:rsid w:val="00052495"/>
    <w:rsid w:val="00052805"/>
    <w:rsid w:val="0005369D"/>
    <w:rsid w:val="00054620"/>
    <w:rsid w:val="0005587D"/>
    <w:rsid w:val="0005601D"/>
    <w:rsid w:val="00057C66"/>
    <w:rsid w:val="00061F5F"/>
    <w:rsid w:val="0006239B"/>
    <w:rsid w:val="00063148"/>
    <w:rsid w:val="0006769D"/>
    <w:rsid w:val="00070AF9"/>
    <w:rsid w:val="00072170"/>
    <w:rsid w:val="000729C6"/>
    <w:rsid w:val="00073068"/>
    <w:rsid w:val="0007373B"/>
    <w:rsid w:val="00074D5D"/>
    <w:rsid w:val="00075134"/>
    <w:rsid w:val="00077407"/>
    <w:rsid w:val="000815BC"/>
    <w:rsid w:val="00082130"/>
    <w:rsid w:val="00082207"/>
    <w:rsid w:val="00082382"/>
    <w:rsid w:val="00082EA4"/>
    <w:rsid w:val="00083910"/>
    <w:rsid w:val="00084B2D"/>
    <w:rsid w:val="00084D7A"/>
    <w:rsid w:val="00087D41"/>
    <w:rsid w:val="000906BF"/>
    <w:rsid w:val="000912E7"/>
    <w:rsid w:val="00093177"/>
    <w:rsid w:val="00094283"/>
    <w:rsid w:val="00096209"/>
    <w:rsid w:val="000A1C10"/>
    <w:rsid w:val="000A2261"/>
    <w:rsid w:val="000A561D"/>
    <w:rsid w:val="000A5DB3"/>
    <w:rsid w:val="000B0CA8"/>
    <w:rsid w:val="000B1C6E"/>
    <w:rsid w:val="000B2D2E"/>
    <w:rsid w:val="000B2E78"/>
    <w:rsid w:val="000B435D"/>
    <w:rsid w:val="000B4B74"/>
    <w:rsid w:val="000B5AB9"/>
    <w:rsid w:val="000B7377"/>
    <w:rsid w:val="000C0CC5"/>
    <w:rsid w:val="000C1961"/>
    <w:rsid w:val="000C197E"/>
    <w:rsid w:val="000C45A5"/>
    <w:rsid w:val="000C46D0"/>
    <w:rsid w:val="000C4B07"/>
    <w:rsid w:val="000C665F"/>
    <w:rsid w:val="000C7EA1"/>
    <w:rsid w:val="000D0182"/>
    <w:rsid w:val="000D1865"/>
    <w:rsid w:val="000D1E56"/>
    <w:rsid w:val="000D2166"/>
    <w:rsid w:val="000D3577"/>
    <w:rsid w:val="000D4553"/>
    <w:rsid w:val="000D7BAB"/>
    <w:rsid w:val="000E27A8"/>
    <w:rsid w:val="000E2DF4"/>
    <w:rsid w:val="000E5530"/>
    <w:rsid w:val="000E5AF3"/>
    <w:rsid w:val="000E650A"/>
    <w:rsid w:val="000F0042"/>
    <w:rsid w:val="000F089F"/>
    <w:rsid w:val="000F409C"/>
    <w:rsid w:val="000F43F1"/>
    <w:rsid w:val="000F5377"/>
    <w:rsid w:val="000F7A95"/>
    <w:rsid w:val="001011DD"/>
    <w:rsid w:val="00101D53"/>
    <w:rsid w:val="00103029"/>
    <w:rsid w:val="0010513A"/>
    <w:rsid w:val="00105344"/>
    <w:rsid w:val="0010676E"/>
    <w:rsid w:val="0010726C"/>
    <w:rsid w:val="00107C78"/>
    <w:rsid w:val="001103FC"/>
    <w:rsid w:val="001108E5"/>
    <w:rsid w:val="001111FA"/>
    <w:rsid w:val="0011285A"/>
    <w:rsid w:val="00112FA4"/>
    <w:rsid w:val="00113310"/>
    <w:rsid w:val="00115104"/>
    <w:rsid w:val="0011577E"/>
    <w:rsid w:val="00122201"/>
    <w:rsid w:val="001226ED"/>
    <w:rsid w:val="001253DE"/>
    <w:rsid w:val="001268D3"/>
    <w:rsid w:val="00127339"/>
    <w:rsid w:val="00131C43"/>
    <w:rsid w:val="00133613"/>
    <w:rsid w:val="001340AD"/>
    <w:rsid w:val="00134117"/>
    <w:rsid w:val="00134436"/>
    <w:rsid w:val="00134614"/>
    <w:rsid w:val="00135E1C"/>
    <w:rsid w:val="00136799"/>
    <w:rsid w:val="00141152"/>
    <w:rsid w:val="00141694"/>
    <w:rsid w:val="00141731"/>
    <w:rsid w:val="001428E8"/>
    <w:rsid w:val="00142AC2"/>
    <w:rsid w:val="00142B4B"/>
    <w:rsid w:val="00144D1E"/>
    <w:rsid w:val="00145325"/>
    <w:rsid w:val="00145D94"/>
    <w:rsid w:val="00145E6E"/>
    <w:rsid w:val="00145FCF"/>
    <w:rsid w:val="00146D95"/>
    <w:rsid w:val="001504D0"/>
    <w:rsid w:val="0015059B"/>
    <w:rsid w:val="00152129"/>
    <w:rsid w:val="001524B0"/>
    <w:rsid w:val="001524FE"/>
    <w:rsid w:val="001529C0"/>
    <w:rsid w:val="0015321E"/>
    <w:rsid w:val="001548B0"/>
    <w:rsid w:val="00154A44"/>
    <w:rsid w:val="00155D08"/>
    <w:rsid w:val="00157114"/>
    <w:rsid w:val="001600F9"/>
    <w:rsid w:val="00160606"/>
    <w:rsid w:val="00161879"/>
    <w:rsid w:val="00163E6F"/>
    <w:rsid w:val="00163EC5"/>
    <w:rsid w:val="0017049A"/>
    <w:rsid w:val="00171070"/>
    <w:rsid w:val="001715F4"/>
    <w:rsid w:val="00171892"/>
    <w:rsid w:val="00173CE3"/>
    <w:rsid w:val="00173D59"/>
    <w:rsid w:val="00176E37"/>
    <w:rsid w:val="001808AE"/>
    <w:rsid w:val="001833E7"/>
    <w:rsid w:val="001843A8"/>
    <w:rsid w:val="00184EDF"/>
    <w:rsid w:val="00185516"/>
    <w:rsid w:val="001879C1"/>
    <w:rsid w:val="00187A76"/>
    <w:rsid w:val="00191CBB"/>
    <w:rsid w:val="0019272A"/>
    <w:rsid w:val="00192F59"/>
    <w:rsid w:val="00195EFE"/>
    <w:rsid w:val="00197A98"/>
    <w:rsid w:val="00197F8C"/>
    <w:rsid w:val="001A08C8"/>
    <w:rsid w:val="001A1393"/>
    <w:rsid w:val="001A2636"/>
    <w:rsid w:val="001A2DE8"/>
    <w:rsid w:val="001A36CC"/>
    <w:rsid w:val="001A4336"/>
    <w:rsid w:val="001A72C9"/>
    <w:rsid w:val="001B06DB"/>
    <w:rsid w:val="001B22E6"/>
    <w:rsid w:val="001B368C"/>
    <w:rsid w:val="001B45CB"/>
    <w:rsid w:val="001B665E"/>
    <w:rsid w:val="001B6B9D"/>
    <w:rsid w:val="001C00AC"/>
    <w:rsid w:val="001C15C3"/>
    <w:rsid w:val="001C1A03"/>
    <w:rsid w:val="001C360C"/>
    <w:rsid w:val="001C540D"/>
    <w:rsid w:val="001C5504"/>
    <w:rsid w:val="001C5BEB"/>
    <w:rsid w:val="001C72BE"/>
    <w:rsid w:val="001D0642"/>
    <w:rsid w:val="001D3295"/>
    <w:rsid w:val="001D34D6"/>
    <w:rsid w:val="001E3097"/>
    <w:rsid w:val="001E3FAD"/>
    <w:rsid w:val="001E5B4D"/>
    <w:rsid w:val="001E6221"/>
    <w:rsid w:val="001E6D61"/>
    <w:rsid w:val="001E796A"/>
    <w:rsid w:val="001F3267"/>
    <w:rsid w:val="001F3630"/>
    <w:rsid w:val="001F45A8"/>
    <w:rsid w:val="001F4A34"/>
    <w:rsid w:val="001F4D53"/>
    <w:rsid w:val="001F5BFB"/>
    <w:rsid w:val="001F63F6"/>
    <w:rsid w:val="001F677E"/>
    <w:rsid w:val="001F69A1"/>
    <w:rsid w:val="002002F1"/>
    <w:rsid w:val="002027AA"/>
    <w:rsid w:val="002037A9"/>
    <w:rsid w:val="00204E92"/>
    <w:rsid w:val="00206F72"/>
    <w:rsid w:val="002104AD"/>
    <w:rsid w:val="002118D1"/>
    <w:rsid w:val="00211CF2"/>
    <w:rsid w:val="002135C3"/>
    <w:rsid w:val="002145F2"/>
    <w:rsid w:val="002149DD"/>
    <w:rsid w:val="002150C0"/>
    <w:rsid w:val="00215EAB"/>
    <w:rsid w:val="002161DA"/>
    <w:rsid w:val="00216E19"/>
    <w:rsid w:val="00220280"/>
    <w:rsid w:val="002204D6"/>
    <w:rsid w:val="00221534"/>
    <w:rsid w:val="00222D7A"/>
    <w:rsid w:val="00223822"/>
    <w:rsid w:val="002254F0"/>
    <w:rsid w:val="00227F80"/>
    <w:rsid w:val="00230579"/>
    <w:rsid w:val="002308B8"/>
    <w:rsid w:val="00230D50"/>
    <w:rsid w:val="00233146"/>
    <w:rsid w:val="0023387D"/>
    <w:rsid w:val="00233BF6"/>
    <w:rsid w:val="00233DD9"/>
    <w:rsid w:val="00234204"/>
    <w:rsid w:val="00234A46"/>
    <w:rsid w:val="00235A06"/>
    <w:rsid w:val="00237F83"/>
    <w:rsid w:val="002417E4"/>
    <w:rsid w:val="002426ED"/>
    <w:rsid w:val="00243279"/>
    <w:rsid w:val="00243A1B"/>
    <w:rsid w:val="00246C6E"/>
    <w:rsid w:val="00247CB5"/>
    <w:rsid w:val="002512D7"/>
    <w:rsid w:val="002519FD"/>
    <w:rsid w:val="002523AD"/>
    <w:rsid w:val="00252C9E"/>
    <w:rsid w:val="00254446"/>
    <w:rsid w:val="00254BED"/>
    <w:rsid w:val="00254FA3"/>
    <w:rsid w:val="002553A4"/>
    <w:rsid w:val="00255BEE"/>
    <w:rsid w:val="00257AFB"/>
    <w:rsid w:val="002622D4"/>
    <w:rsid w:val="002623A1"/>
    <w:rsid w:val="0026292D"/>
    <w:rsid w:val="00264215"/>
    <w:rsid w:val="002646D5"/>
    <w:rsid w:val="00266729"/>
    <w:rsid w:val="00267848"/>
    <w:rsid w:val="002708F8"/>
    <w:rsid w:val="00271308"/>
    <w:rsid w:val="00271CA2"/>
    <w:rsid w:val="002728D7"/>
    <w:rsid w:val="00273ED4"/>
    <w:rsid w:val="00274291"/>
    <w:rsid w:val="00274CBA"/>
    <w:rsid w:val="0027517C"/>
    <w:rsid w:val="00276B58"/>
    <w:rsid w:val="00277041"/>
    <w:rsid w:val="0027724C"/>
    <w:rsid w:val="00280378"/>
    <w:rsid w:val="00281DC6"/>
    <w:rsid w:val="00284C11"/>
    <w:rsid w:val="0028582E"/>
    <w:rsid w:val="002873E2"/>
    <w:rsid w:val="002915B6"/>
    <w:rsid w:val="00291A36"/>
    <w:rsid w:val="0029205D"/>
    <w:rsid w:val="002929E7"/>
    <w:rsid w:val="00293719"/>
    <w:rsid w:val="002944ED"/>
    <w:rsid w:val="0029543B"/>
    <w:rsid w:val="002962D6"/>
    <w:rsid w:val="00296341"/>
    <w:rsid w:val="002972F0"/>
    <w:rsid w:val="00297D71"/>
    <w:rsid w:val="002A0FD3"/>
    <w:rsid w:val="002A1967"/>
    <w:rsid w:val="002A2BE0"/>
    <w:rsid w:val="002A34FD"/>
    <w:rsid w:val="002A3620"/>
    <w:rsid w:val="002A3CD2"/>
    <w:rsid w:val="002A5374"/>
    <w:rsid w:val="002A5C5B"/>
    <w:rsid w:val="002A61AC"/>
    <w:rsid w:val="002A63D2"/>
    <w:rsid w:val="002A7FD9"/>
    <w:rsid w:val="002B0E4E"/>
    <w:rsid w:val="002B20D7"/>
    <w:rsid w:val="002B2EDA"/>
    <w:rsid w:val="002B30DE"/>
    <w:rsid w:val="002B4A67"/>
    <w:rsid w:val="002B5F02"/>
    <w:rsid w:val="002C0AFB"/>
    <w:rsid w:val="002C11BE"/>
    <w:rsid w:val="002C3FF3"/>
    <w:rsid w:val="002C5A59"/>
    <w:rsid w:val="002D0144"/>
    <w:rsid w:val="002D1624"/>
    <w:rsid w:val="002D28EB"/>
    <w:rsid w:val="002D29E0"/>
    <w:rsid w:val="002D38A9"/>
    <w:rsid w:val="002D3D38"/>
    <w:rsid w:val="002D56E4"/>
    <w:rsid w:val="002D6F12"/>
    <w:rsid w:val="002E1902"/>
    <w:rsid w:val="002E4828"/>
    <w:rsid w:val="002E483E"/>
    <w:rsid w:val="002E7EF4"/>
    <w:rsid w:val="002F0765"/>
    <w:rsid w:val="002F0E90"/>
    <w:rsid w:val="002F175D"/>
    <w:rsid w:val="002F2F32"/>
    <w:rsid w:val="002F50EA"/>
    <w:rsid w:val="002F5160"/>
    <w:rsid w:val="002F6B7C"/>
    <w:rsid w:val="002F73CA"/>
    <w:rsid w:val="00300637"/>
    <w:rsid w:val="003022A6"/>
    <w:rsid w:val="003025F7"/>
    <w:rsid w:val="00304212"/>
    <w:rsid w:val="00304964"/>
    <w:rsid w:val="003110DD"/>
    <w:rsid w:val="00311851"/>
    <w:rsid w:val="003121CA"/>
    <w:rsid w:val="00312C9D"/>
    <w:rsid w:val="00313FCA"/>
    <w:rsid w:val="00313FCD"/>
    <w:rsid w:val="003145D8"/>
    <w:rsid w:val="00314884"/>
    <w:rsid w:val="00316377"/>
    <w:rsid w:val="0032027F"/>
    <w:rsid w:val="00321103"/>
    <w:rsid w:val="00323B92"/>
    <w:rsid w:val="00324466"/>
    <w:rsid w:val="00324854"/>
    <w:rsid w:val="00330976"/>
    <w:rsid w:val="00330C2C"/>
    <w:rsid w:val="00330F89"/>
    <w:rsid w:val="003336EC"/>
    <w:rsid w:val="00333C2E"/>
    <w:rsid w:val="003347B3"/>
    <w:rsid w:val="0033657B"/>
    <w:rsid w:val="003410EB"/>
    <w:rsid w:val="00341FDF"/>
    <w:rsid w:val="00342F26"/>
    <w:rsid w:val="003430EA"/>
    <w:rsid w:val="0034501D"/>
    <w:rsid w:val="0034670C"/>
    <w:rsid w:val="00347B4C"/>
    <w:rsid w:val="0035056B"/>
    <w:rsid w:val="0035064F"/>
    <w:rsid w:val="0035081B"/>
    <w:rsid w:val="003509B3"/>
    <w:rsid w:val="00356BE5"/>
    <w:rsid w:val="00356D83"/>
    <w:rsid w:val="003576CC"/>
    <w:rsid w:val="00360425"/>
    <w:rsid w:val="003608E4"/>
    <w:rsid w:val="00364108"/>
    <w:rsid w:val="003646AB"/>
    <w:rsid w:val="0036477C"/>
    <w:rsid w:val="00364CAA"/>
    <w:rsid w:val="00366633"/>
    <w:rsid w:val="00366C02"/>
    <w:rsid w:val="00366F94"/>
    <w:rsid w:val="0037126B"/>
    <w:rsid w:val="0037127A"/>
    <w:rsid w:val="00371EB6"/>
    <w:rsid w:val="00372024"/>
    <w:rsid w:val="003721F1"/>
    <w:rsid w:val="00372E87"/>
    <w:rsid w:val="00374799"/>
    <w:rsid w:val="00375EA1"/>
    <w:rsid w:val="00377BB8"/>
    <w:rsid w:val="00380E7C"/>
    <w:rsid w:val="0038117A"/>
    <w:rsid w:val="003814AE"/>
    <w:rsid w:val="00381751"/>
    <w:rsid w:val="00382C6C"/>
    <w:rsid w:val="003834BC"/>
    <w:rsid w:val="00383D5E"/>
    <w:rsid w:val="00384B63"/>
    <w:rsid w:val="00385336"/>
    <w:rsid w:val="00386917"/>
    <w:rsid w:val="00386AA4"/>
    <w:rsid w:val="00387999"/>
    <w:rsid w:val="003879D3"/>
    <w:rsid w:val="00393A00"/>
    <w:rsid w:val="003954CC"/>
    <w:rsid w:val="00395BC7"/>
    <w:rsid w:val="00396149"/>
    <w:rsid w:val="003965BE"/>
    <w:rsid w:val="00397463"/>
    <w:rsid w:val="003A000A"/>
    <w:rsid w:val="003A078E"/>
    <w:rsid w:val="003A1D0B"/>
    <w:rsid w:val="003A2C12"/>
    <w:rsid w:val="003A6617"/>
    <w:rsid w:val="003A6C16"/>
    <w:rsid w:val="003A7074"/>
    <w:rsid w:val="003A7C62"/>
    <w:rsid w:val="003B0340"/>
    <w:rsid w:val="003B1B82"/>
    <w:rsid w:val="003B1C8A"/>
    <w:rsid w:val="003B261A"/>
    <w:rsid w:val="003B3652"/>
    <w:rsid w:val="003B3F6B"/>
    <w:rsid w:val="003B7478"/>
    <w:rsid w:val="003B7D75"/>
    <w:rsid w:val="003C0504"/>
    <w:rsid w:val="003C3E25"/>
    <w:rsid w:val="003C47AA"/>
    <w:rsid w:val="003C568D"/>
    <w:rsid w:val="003C59A5"/>
    <w:rsid w:val="003C5DEB"/>
    <w:rsid w:val="003C6E63"/>
    <w:rsid w:val="003C71FE"/>
    <w:rsid w:val="003D00B0"/>
    <w:rsid w:val="003D057A"/>
    <w:rsid w:val="003D0E9C"/>
    <w:rsid w:val="003D1247"/>
    <w:rsid w:val="003D2027"/>
    <w:rsid w:val="003D233C"/>
    <w:rsid w:val="003D4AAE"/>
    <w:rsid w:val="003D4C4A"/>
    <w:rsid w:val="003E1067"/>
    <w:rsid w:val="003E1952"/>
    <w:rsid w:val="003E268E"/>
    <w:rsid w:val="003E35C2"/>
    <w:rsid w:val="003E39FB"/>
    <w:rsid w:val="003E50B0"/>
    <w:rsid w:val="003E6DD3"/>
    <w:rsid w:val="003E7BA5"/>
    <w:rsid w:val="003F43CE"/>
    <w:rsid w:val="003F7570"/>
    <w:rsid w:val="003F772D"/>
    <w:rsid w:val="00402727"/>
    <w:rsid w:val="0040329C"/>
    <w:rsid w:val="004033EA"/>
    <w:rsid w:val="00403F09"/>
    <w:rsid w:val="00404316"/>
    <w:rsid w:val="00404AA2"/>
    <w:rsid w:val="0040569F"/>
    <w:rsid w:val="004058C9"/>
    <w:rsid w:val="00406686"/>
    <w:rsid w:val="00406B8F"/>
    <w:rsid w:val="00407800"/>
    <w:rsid w:val="00407B52"/>
    <w:rsid w:val="0041055A"/>
    <w:rsid w:val="00412336"/>
    <w:rsid w:val="00412630"/>
    <w:rsid w:val="00412AEA"/>
    <w:rsid w:val="00415613"/>
    <w:rsid w:val="00416AAE"/>
    <w:rsid w:val="00416EFA"/>
    <w:rsid w:val="00416F63"/>
    <w:rsid w:val="004209A7"/>
    <w:rsid w:val="00422041"/>
    <w:rsid w:val="004225EF"/>
    <w:rsid w:val="00422E79"/>
    <w:rsid w:val="00424473"/>
    <w:rsid w:val="004256E8"/>
    <w:rsid w:val="00427AA7"/>
    <w:rsid w:val="00430020"/>
    <w:rsid w:val="00433536"/>
    <w:rsid w:val="004356A6"/>
    <w:rsid w:val="00435A3D"/>
    <w:rsid w:val="00437E5B"/>
    <w:rsid w:val="004401EE"/>
    <w:rsid w:val="0044227C"/>
    <w:rsid w:val="0044265A"/>
    <w:rsid w:val="00443600"/>
    <w:rsid w:val="00444CD6"/>
    <w:rsid w:val="00447D4A"/>
    <w:rsid w:val="004510FE"/>
    <w:rsid w:val="004518AB"/>
    <w:rsid w:val="004525E7"/>
    <w:rsid w:val="00453387"/>
    <w:rsid w:val="00453E71"/>
    <w:rsid w:val="00454640"/>
    <w:rsid w:val="00454A1D"/>
    <w:rsid w:val="00456D56"/>
    <w:rsid w:val="00457DD0"/>
    <w:rsid w:val="00460A2F"/>
    <w:rsid w:val="00460E4E"/>
    <w:rsid w:val="00461C12"/>
    <w:rsid w:val="00462843"/>
    <w:rsid w:val="00463E45"/>
    <w:rsid w:val="00465342"/>
    <w:rsid w:val="00465B5B"/>
    <w:rsid w:val="00465C3A"/>
    <w:rsid w:val="004663B9"/>
    <w:rsid w:val="00467AF2"/>
    <w:rsid w:val="00470BFE"/>
    <w:rsid w:val="00471D85"/>
    <w:rsid w:val="00472314"/>
    <w:rsid w:val="00473CCC"/>
    <w:rsid w:val="004753A6"/>
    <w:rsid w:val="00476347"/>
    <w:rsid w:val="00476EFD"/>
    <w:rsid w:val="004774FE"/>
    <w:rsid w:val="00480057"/>
    <w:rsid w:val="004805B7"/>
    <w:rsid w:val="004809CF"/>
    <w:rsid w:val="00483B04"/>
    <w:rsid w:val="00486462"/>
    <w:rsid w:val="004876DA"/>
    <w:rsid w:val="00487E0D"/>
    <w:rsid w:val="00495172"/>
    <w:rsid w:val="0049573A"/>
    <w:rsid w:val="004959A5"/>
    <w:rsid w:val="004A0738"/>
    <w:rsid w:val="004A1126"/>
    <w:rsid w:val="004A3201"/>
    <w:rsid w:val="004A4C3D"/>
    <w:rsid w:val="004B1237"/>
    <w:rsid w:val="004B18E4"/>
    <w:rsid w:val="004B2511"/>
    <w:rsid w:val="004B297F"/>
    <w:rsid w:val="004B4CCF"/>
    <w:rsid w:val="004B4F48"/>
    <w:rsid w:val="004B4FB6"/>
    <w:rsid w:val="004B5068"/>
    <w:rsid w:val="004C01EE"/>
    <w:rsid w:val="004C3117"/>
    <w:rsid w:val="004C3845"/>
    <w:rsid w:val="004C6984"/>
    <w:rsid w:val="004C6C13"/>
    <w:rsid w:val="004C7B93"/>
    <w:rsid w:val="004D0411"/>
    <w:rsid w:val="004D0AE8"/>
    <w:rsid w:val="004D0E89"/>
    <w:rsid w:val="004D15D7"/>
    <w:rsid w:val="004D17EF"/>
    <w:rsid w:val="004D1C24"/>
    <w:rsid w:val="004D280C"/>
    <w:rsid w:val="004D55BD"/>
    <w:rsid w:val="004D614C"/>
    <w:rsid w:val="004D62F3"/>
    <w:rsid w:val="004D6344"/>
    <w:rsid w:val="004E0809"/>
    <w:rsid w:val="004E1595"/>
    <w:rsid w:val="004E2AB1"/>
    <w:rsid w:val="004E7061"/>
    <w:rsid w:val="004F0708"/>
    <w:rsid w:val="004F0E27"/>
    <w:rsid w:val="004F12BD"/>
    <w:rsid w:val="004F2255"/>
    <w:rsid w:val="004F256A"/>
    <w:rsid w:val="004F2BC1"/>
    <w:rsid w:val="004F3481"/>
    <w:rsid w:val="004F3C59"/>
    <w:rsid w:val="004F5B71"/>
    <w:rsid w:val="004F6537"/>
    <w:rsid w:val="004F7073"/>
    <w:rsid w:val="005017DD"/>
    <w:rsid w:val="00501B0F"/>
    <w:rsid w:val="005043A6"/>
    <w:rsid w:val="005044A4"/>
    <w:rsid w:val="005106CD"/>
    <w:rsid w:val="00510E08"/>
    <w:rsid w:val="00512C2C"/>
    <w:rsid w:val="005134A1"/>
    <w:rsid w:val="00513B93"/>
    <w:rsid w:val="00513F62"/>
    <w:rsid w:val="005147A7"/>
    <w:rsid w:val="00516DD4"/>
    <w:rsid w:val="00517F89"/>
    <w:rsid w:val="00522AF3"/>
    <w:rsid w:val="00523AEA"/>
    <w:rsid w:val="00523B3D"/>
    <w:rsid w:val="0052623E"/>
    <w:rsid w:val="00526E42"/>
    <w:rsid w:val="00526E74"/>
    <w:rsid w:val="005276E4"/>
    <w:rsid w:val="0052772A"/>
    <w:rsid w:val="00527ADE"/>
    <w:rsid w:val="00531B5E"/>
    <w:rsid w:val="00531CF1"/>
    <w:rsid w:val="005321CE"/>
    <w:rsid w:val="005328CE"/>
    <w:rsid w:val="00533149"/>
    <w:rsid w:val="0053415F"/>
    <w:rsid w:val="0053445A"/>
    <w:rsid w:val="005358E2"/>
    <w:rsid w:val="00536862"/>
    <w:rsid w:val="00536EBE"/>
    <w:rsid w:val="00537855"/>
    <w:rsid w:val="00541020"/>
    <w:rsid w:val="005420F9"/>
    <w:rsid w:val="00542672"/>
    <w:rsid w:val="0054282F"/>
    <w:rsid w:val="0054355E"/>
    <w:rsid w:val="00546414"/>
    <w:rsid w:val="00551496"/>
    <w:rsid w:val="00551683"/>
    <w:rsid w:val="00551FC2"/>
    <w:rsid w:val="005600A3"/>
    <w:rsid w:val="005608B2"/>
    <w:rsid w:val="00563791"/>
    <w:rsid w:val="00567486"/>
    <w:rsid w:val="00571023"/>
    <w:rsid w:val="00571F7A"/>
    <w:rsid w:val="00571FF9"/>
    <w:rsid w:val="00575D53"/>
    <w:rsid w:val="00577372"/>
    <w:rsid w:val="00577387"/>
    <w:rsid w:val="00580C67"/>
    <w:rsid w:val="00580F07"/>
    <w:rsid w:val="00581D9C"/>
    <w:rsid w:val="005857A9"/>
    <w:rsid w:val="005861BE"/>
    <w:rsid w:val="00590869"/>
    <w:rsid w:val="00593088"/>
    <w:rsid w:val="00593337"/>
    <w:rsid w:val="0059425A"/>
    <w:rsid w:val="0059500F"/>
    <w:rsid w:val="00595589"/>
    <w:rsid w:val="00595E45"/>
    <w:rsid w:val="00596FB9"/>
    <w:rsid w:val="005972DA"/>
    <w:rsid w:val="005A37E4"/>
    <w:rsid w:val="005A5079"/>
    <w:rsid w:val="005A6121"/>
    <w:rsid w:val="005B0D82"/>
    <w:rsid w:val="005B1AEA"/>
    <w:rsid w:val="005B263E"/>
    <w:rsid w:val="005B5696"/>
    <w:rsid w:val="005B5B0E"/>
    <w:rsid w:val="005B5CBB"/>
    <w:rsid w:val="005B5E58"/>
    <w:rsid w:val="005B65D0"/>
    <w:rsid w:val="005B6F76"/>
    <w:rsid w:val="005C0959"/>
    <w:rsid w:val="005C0E45"/>
    <w:rsid w:val="005C11DC"/>
    <w:rsid w:val="005C31EA"/>
    <w:rsid w:val="005C4655"/>
    <w:rsid w:val="005C4782"/>
    <w:rsid w:val="005C610C"/>
    <w:rsid w:val="005C6A8E"/>
    <w:rsid w:val="005C6DF4"/>
    <w:rsid w:val="005D01A0"/>
    <w:rsid w:val="005D0B5D"/>
    <w:rsid w:val="005D17F8"/>
    <w:rsid w:val="005D1AFA"/>
    <w:rsid w:val="005D3C2C"/>
    <w:rsid w:val="005D3FFE"/>
    <w:rsid w:val="005D5C05"/>
    <w:rsid w:val="005E0650"/>
    <w:rsid w:val="005E19B1"/>
    <w:rsid w:val="005E2480"/>
    <w:rsid w:val="005E3344"/>
    <w:rsid w:val="005E3E09"/>
    <w:rsid w:val="005E3EA8"/>
    <w:rsid w:val="005E60AF"/>
    <w:rsid w:val="005F059C"/>
    <w:rsid w:val="005F2545"/>
    <w:rsid w:val="005F443B"/>
    <w:rsid w:val="005F4500"/>
    <w:rsid w:val="005F5CAB"/>
    <w:rsid w:val="005F605A"/>
    <w:rsid w:val="005F7157"/>
    <w:rsid w:val="005F729D"/>
    <w:rsid w:val="005F75F1"/>
    <w:rsid w:val="006000EE"/>
    <w:rsid w:val="00600AFF"/>
    <w:rsid w:val="006010BF"/>
    <w:rsid w:val="00601A36"/>
    <w:rsid w:val="00602B1E"/>
    <w:rsid w:val="00602C35"/>
    <w:rsid w:val="00602F87"/>
    <w:rsid w:val="0060350F"/>
    <w:rsid w:val="00603C4F"/>
    <w:rsid w:val="006073BC"/>
    <w:rsid w:val="00607B3A"/>
    <w:rsid w:val="00610A7A"/>
    <w:rsid w:val="006116FC"/>
    <w:rsid w:val="00613A48"/>
    <w:rsid w:val="00613B72"/>
    <w:rsid w:val="00614239"/>
    <w:rsid w:val="0061611E"/>
    <w:rsid w:val="00616250"/>
    <w:rsid w:val="00617F08"/>
    <w:rsid w:val="0062010F"/>
    <w:rsid w:val="00620AF0"/>
    <w:rsid w:val="00621450"/>
    <w:rsid w:val="00621FE6"/>
    <w:rsid w:val="00623247"/>
    <w:rsid w:val="00623DDE"/>
    <w:rsid w:val="00623DE9"/>
    <w:rsid w:val="0062488F"/>
    <w:rsid w:val="00624C30"/>
    <w:rsid w:val="00631BDB"/>
    <w:rsid w:val="00632795"/>
    <w:rsid w:val="006369B7"/>
    <w:rsid w:val="00637DC3"/>
    <w:rsid w:val="00640771"/>
    <w:rsid w:val="00640F36"/>
    <w:rsid w:val="006419D0"/>
    <w:rsid w:val="006420B6"/>
    <w:rsid w:val="006427ED"/>
    <w:rsid w:val="00643BA1"/>
    <w:rsid w:val="006448F0"/>
    <w:rsid w:val="00644B0D"/>
    <w:rsid w:val="00644F20"/>
    <w:rsid w:val="0064603E"/>
    <w:rsid w:val="00646822"/>
    <w:rsid w:val="00650A37"/>
    <w:rsid w:val="00650EB4"/>
    <w:rsid w:val="006521D2"/>
    <w:rsid w:val="00652272"/>
    <w:rsid w:val="00656310"/>
    <w:rsid w:val="00656B24"/>
    <w:rsid w:val="00656DB6"/>
    <w:rsid w:val="0066101A"/>
    <w:rsid w:val="0066281A"/>
    <w:rsid w:val="00665E45"/>
    <w:rsid w:val="0066649B"/>
    <w:rsid w:val="00670536"/>
    <w:rsid w:val="00670A83"/>
    <w:rsid w:val="006713CA"/>
    <w:rsid w:val="006713D8"/>
    <w:rsid w:val="00674A61"/>
    <w:rsid w:val="00675C6D"/>
    <w:rsid w:val="00675F46"/>
    <w:rsid w:val="00676371"/>
    <w:rsid w:val="00677309"/>
    <w:rsid w:val="00680387"/>
    <w:rsid w:val="0068060E"/>
    <w:rsid w:val="0068082E"/>
    <w:rsid w:val="00681B2B"/>
    <w:rsid w:val="00681FE9"/>
    <w:rsid w:val="0068271F"/>
    <w:rsid w:val="00683280"/>
    <w:rsid w:val="006847F9"/>
    <w:rsid w:val="00687159"/>
    <w:rsid w:val="006878AC"/>
    <w:rsid w:val="00690690"/>
    <w:rsid w:val="006907AC"/>
    <w:rsid w:val="0069090B"/>
    <w:rsid w:val="00691978"/>
    <w:rsid w:val="0069286B"/>
    <w:rsid w:val="00693194"/>
    <w:rsid w:val="00693608"/>
    <w:rsid w:val="00693FC8"/>
    <w:rsid w:val="00694554"/>
    <w:rsid w:val="00695206"/>
    <w:rsid w:val="006966F7"/>
    <w:rsid w:val="00697342"/>
    <w:rsid w:val="006A0A98"/>
    <w:rsid w:val="006A4755"/>
    <w:rsid w:val="006A481A"/>
    <w:rsid w:val="006A5EB9"/>
    <w:rsid w:val="006A757C"/>
    <w:rsid w:val="006B2A2A"/>
    <w:rsid w:val="006B2AF7"/>
    <w:rsid w:val="006B362A"/>
    <w:rsid w:val="006B663D"/>
    <w:rsid w:val="006B6AE6"/>
    <w:rsid w:val="006C0E36"/>
    <w:rsid w:val="006C0E81"/>
    <w:rsid w:val="006C233F"/>
    <w:rsid w:val="006C4973"/>
    <w:rsid w:val="006C5460"/>
    <w:rsid w:val="006C573D"/>
    <w:rsid w:val="006C62F6"/>
    <w:rsid w:val="006C6B73"/>
    <w:rsid w:val="006C7568"/>
    <w:rsid w:val="006D060D"/>
    <w:rsid w:val="006D291C"/>
    <w:rsid w:val="006D4463"/>
    <w:rsid w:val="006D4654"/>
    <w:rsid w:val="006D5F92"/>
    <w:rsid w:val="006D6EE1"/>
    <w:rsid w:val="006D763E"/>
    <w:rsid w:val="006E1629"/>
    <w:rsid w:val="006E282F"/>
    <w:rsid w:val="006E3D13"/>
    <w:rsid w:val="006E404E"/>
    <w:rsid w:val="006E43F2"/>
    <w:rsid w:val="006E456C"/>
    <w:rsid w:val="006E4D56"/>
    <w:rsid w:val="006F2E89"/>
    <w:rsid w:val="006F37A9"/>
    <w:rsid w:val="006F4340"/>
    <w:rsid w:val="006F54C1"/>
    <w:rsid w:val="006F73C8"/>
    <w:rsid w:val="007004B4"/>
    <w:rsid w:val="00700AF1"/>
    <w:rsid w:val="00700F05"/>
    <w:rsid w:val="007012C0"/>
    <w:rsid w:val="00701DD2"/>
    <w:rsid w:val="0070451A"/>
    <w:rsid w:val="00705677"/>
    <w:rsid w:val="007128BD"/>
    <w:rsid w:val="00712AA2"/>
    <w:rsid w:val="007134EB"/>
    <w:rsid w:val="00713636"/>
    <w:rsid w:val="007137B4"/>
    <w:rsid w:val="00713991"/>
    <w:rsid w:val="0071400F"/>
    <w:rsid w:val="007142D6"/>
    <w:rsid w:val="007146B2"/>
    <w:rsid w:val="00714F2A"/>
    <w:rsid w:val="007161FA"/>
    <w:rsid w:val="0071667C"/>
    <w:rsid w:val="007167B3"/>
    <w:rsid w:val="00716971"/>
    <w:rsid w:val="0072243E"/>
    <w:rsid w:val="00722F1F"/>
    <w:rsid w:val="00723ABE"/>
    <w:rsid w:val="00723B74"/>
    <w:rsid w:val="00723C30"/>
    <w:rsid w:val="00723D2A"/>
    <w:rsid w:val="00724306"/>
    <w:rsid w:val="00724A05"/>
    <w:rsid w:val="00724B91"/>
    <w:rsid w:val="00724D4C"/>
    <w:rsid w:val="00726A46"/>
    <w:rsid w:val="007275DE"/>
    <w:rsid w:val="00731760"/>
    <w:rsid w:val="00734FFE"/>
    <w:rsid w:val="00735836"/>
    <w:rsid w:val="00737A89"/>
    <w:rsid w:val="00737B63"/>
    <w:rsid w:val="00742892"/>
    <w:rsid w:val="007440A3"/>
    <w:rsid w:val="007443D8"/>
    <w:rsid w:val="00745F31"/>
    <w:rsid w:val="007479C3"/>
    <w:rsid w:val="00750C75"/>
    <w:rsid w:val="00751A5B"/>
    <w:rsid w:val="00752EF5"/>
    <w:rsid w:val="00753532"/>
    <w:rsid w:val="00754493"/>
    <w:rsid w:val="0075689E"/>
    <w:rsid w:val="0076103D"/>
    <w:rsid w:val="00761B97"/>
    <w:rsid w:val="00762636"/>
    <w:rsid w:val="00763186"/>
    <w:rsid w:val="00764DF3"/>
    <w:rsid w:val="00765EDC"/>
    <w:rsid w:val="00766B52"/>
    <w:rsid w:val="00767286"/>
    <w:rsid w:val="00770C46"/>
    <w:rsid w:val="00770D80"/>
    <w:rsid w:val="0077342B"/>
    <w:rsid w:val="0078203A"/>
    <w:rsid w:val="0078374F"/>
    <w:rsid w:val="0078468B"/>
    <w:rsid w:val="00784F80"/>
    <w:rsid w:val="00785C6F"/>
    <w:rsid w:val="00786D73"/>
    <w:rsid w:val="007872F6"/>
    <w:rsid w:val="00787391"/>
    <w:rsid w:val="00790F13"/>
    <w:rsid w:val="00791715"/>
    <w:rsid w:val="007917A7"/>
    <w:rsid w:val="00793AF5"/>
    <w:rsid w:val="00793F1B"/>
    <w:rsid w:val="007960ED"/>
    <w:rsid w:val="007A01CC"/>
    <w:rsid w:val="007A07CE"/>
    <w:rsid w:val="007A1ED8"/>
    <w:rsid w:val="007A2FA0"/>
    <w:rsid w:val="007A465D"/>
    <w:rsid w:val="007A5CDB"/>
    <w:rsid w:val="007A644C"/>
    <w:rsid w:val="007B1DE6"/>
    <w:rsid w:val="007B212D"/>
    <w:rsid w:val="007B258C"/>
    <w:rsid w:val="007B27D2"/>
    <w:rsid w:val="007B3A36"/>
    <w:rsid w:val="007B5737"/>
    <w:rsid w:val="007B6013"/>
    <w:rsid w:val="007B6CA8"/>
    <w:rsid w:val="007B7AA3"/>
    <w:rsid w:val="007B7DEE"/>
    <w:rsid w:val="007C04B8"/>
    <w:rsid w:val="007C0629"/>
    <w:rsid w:val="007C107D"/>
    <w:rsid w:val="007C394E"/>
    <w:rsid w:val="007C3A68"/>
    <w:rsid w:val="007C44D2"/>
    <w:rsid w:val="007C4994"/>
    <w:rsid w:val="007C49D2"/>
    <w:rsid w:val="007C51DD"/>
    <w:rsid w:val="007C59E0"/>
    <w:rsid w:val="007C5BE1"/>
    <w:rsid w:val="007D08FC"/>
    <w:rsid w:val="007D0990"/>
    <w:rsid w:val="007D3206"/>
    <w:rsid w:val="007D334F"/>
    <w:rsid w:val="007D4530"/>
    <w:rsid w:val="007D4658"/>
    <w:rsid w:val="007D56AA"/>
    <w:rsid w:val="007D5F30"/>
    <w:rsid w:val="007D64BE"/>
    <w:rsid w:val="007D65AC"/>
    <w:rsid w:val="007D7A67"/>
    <w:rsid w:val="007E0A9A"/>
    <w:rsid w:val="007E153A"/>
    <w:rsid w:val="007E1FE0"/>
    <w:rsid w:val="007E27BF"/>
    <w:rsid w:val="007E280D"/>
    <w:rsid w:val="007E49B8"/>
    <w:rsid w:val="007E4CFC"/>
    <w:rsid w:val="007E6266"/>
    <w:rsid w:val="007E72BB"/>
    <w:rsid w:val="007F24A6"/>
    <w:rsid w:val="007F4800"/>
    <w:rsid w:val="007F574E"/>
    <w:rsid w:val="007F7532"/>
    <w:rsid w:val="007F7C5D"/>
    <w:rsid w:val="00800093"/>
    <w:rsid w:val="00801A22"/>
    <w:rsid w:val="00801D78"/>
    <w:rsid w:val="00801D83"/>
    <w:rsid w:val="008025A3"/>
    <w:rsid w:val="00803B00"/>
    <w:rsid w:val="00806324"/>
    <w:rsid w:val="008069AC"/>
    <w:rsid w:val="00806DA0"/>
    <w:rsid w:val="0081064A"/>
    <w:rsid w:val="00811008"/>
    <w:rsid w:val="0081127B"/>
    <w:rsid w:val="00813F8C"/>
    <w:rsid w:val="008147DB"/>
    <w:rsid w:val="0081542D"/>
    <w:rsid w:val="00815A9C"/>
    <w:rsid w:val="00816064"/>
    <w:rsid w:val="00817A37"/>
    <w:rsid w:val="00822CD4"/>
    <w:rsid w:val="00823586"/>
    <w:rsid w:val="00823D62"/>
    <w:rsid w:val="00824E44"/>
    <w:rsid w:val="008259F5"/>
    <w:rsid w:val="00827E27"/>
    <w:rsid w:val="00830DD5"/>
    <w:rsid w:val="00831749"/>
    <w:rsid w:val="00831CD4"/>
    <w:rsid w:val="008343A0"/>
    <w:rsid w:val="008343BD"/>
    <w:rsid w:val="0083477E"/>
    <w:rsid w:val="00836691"/>
    <w:rsid w:val="00836B5F"/>
    <w:rsid w:val="00840ED0"/>
    <w:rsid w:val="00841553"/>
    <w:rsid w:val="008418EA"/>
    <w:rsid w:val="00841969"/>
    <w:rsid w:val="00841AA7"/>
    <w:rsid w:val="00842E8E"/>
    <w:rsid w:val="008438C1"/>
    <w:rsid w:val="00844686"/>
    <w:rsid w:val="00850ADE"/>
    <w:rsid w:val="00850E7B"/>
    <w:rsid w:val="0085115C"/>
    <w:rsid w:val="008518BC"/>
    <w:rsid w:val="008521AA"/>
    <w:rsid w:val="00852B37"/>
    <w:rsid w:val="00853111"/>
    <w:rsid w:val="00855398"/>
    <w:rsid w:val="008559A4"/>
    <w:rsid w:val="008573E2"/>
    <w:rsid w:val="00860734"/>
    <w:rsid w:val="00861E9C"/>
    <w:rsid w:val="00862124"/>
    <w:rsid w:val="00862FD0"/>
    <w:rsid w:val="008630FC"/>
    <w:rsid w:val="008637D4"/>
    <w:rsid w:val="008649D3"/>
    <w:rsid w:val="00870182"/>
    <w:rsid w:val="00870521"/>
    <w:rsid w:val="00870B6C"/>
    <w:rsid w:val="00870DF0"/>
    <w:rsid w:val="00870E36"/>
    <w:rsid w:val="00871608"/>
    <w:rsid w:val="00872B7F"/>
    <w:rsid w:val="00873AFC"/>
    <w:rsid w:val="008747C6"/>
    <w:rsid w:val="00874EAC"/>
    <w:rsid w:val="008768BB"/>
    <w:rsid w:val="00876C1B"/>
    <w:rsid w:val="00876FF0"/>
    <w:rsid w:val="008809DD"/>
    <w:rsid w:val="008810BC"/>
    <w:rsid w:val="00881954"/>
    <w:rsid w:val="00882E3D"/>
    <w:rsid w:val="00883D71"/>
    <w:rsid w:val="0088511D"/>
    <w:rsid w:val="00885277"/>
    <w:rsid w:val="00886532"/>
    <w:rsid w:val="008870FD"/>
    <w:rsid w:val="00887D38"/>
    <w:rsid w:val="0089015A"/>
    <w:rsid w:val="00890240"/>
    <w:rsid w:val="00890D08"/>
    <w:rsid w:val="00892227"/>
    <w:rsid w:val="00892D90"/>
    <w:rsid w:val="00892EE8"/>
    <w:rsid w:val="008931C6"/>
    <w:rsid w:val="00893D45"/>
    <w:rsid w:val="00893DB3"/>
    <w:rsid w:val="008961CA"/>
    <w:rsid w:val="008967E4"/>
    <w:rsid w:val="00897984"/>
    <w:rsid w:val="008A017A"/>
    <w:rsid w:val="008A14C5"/>
    <w:rsid w:val="008A16D1"/>
    <w:rsid w:val="008A2312"/>
    <w:rsid w:val="008A3D95"/>
    <w:rsid w:val="008B03A5"/>
    <w:rsid w:val="008B1C60"/>
    <w:rsid w:val="008B2489"/>
    <w:rsid w:val="008B2856"/>
    <w:rsid w:val="008B3461"/>
    <w:rsid w:val="008B37C3"/>
    <w:rsid w:val="008B3DFF"/>
    <w:rsid w:val="008B43FA"/>
    <w:rsid w:val="008B697A"/>
    <w:rsid w:val="008B7026"/>
    <w:rsid w:val="008B75AE"/>
    <w:rsid w:val="008B75FD"/>
    <w:rsid w:val="008C03EB"/>
    <w:rsid w:val="008C0933"/>
    <w:rsid w:val="008C0E55"/>
    <w:rsid w:val="008C153C"/>
    <w:rsid w:val="008C1D51"/>
    <w:rsid w:val="008C2020"/>
    <w:rsid w:val="008C33D9"/>
    <w:rsid w:val="008C410B"/>
    <w:rsid w:val="008C5968"/>
    <w:rsid w:val="008C6F81"/>
    <w:rsid w:val="008C772F"/>
    <w:rsid w:val="008D1342"/>
    <w:rsid w:val="008D1F95"/>
    <w:rsid w:val="008D2A67"/>
    <w:rsid w:val="008D31C8"/>
    <w:rsid w:val="008D3FF9"/>
    <w:rsid w:val="008D4BD3"/>
    <w:rsid w:val="008D5A22"/>
    <w:rsid w:val="008D6B19"/>
    <w:rsid w:val="008D6E68"/>
    <w:rsid w:val="008D7036"/>
    <w:rsid w:val="008E0E17"/>
    <w:rsid w:val="008E202B"/>
    <w:rsid w:val="008E3A44"/>
    <w:rsid w:val="008E4E58"/>
    <w:rsid w:val="008E54D1"/>
    <w:rsid w:val="008E6AD1"/>
    <w:rsid w:val="008E7FA9"/>
    <w:rsid w:val="008F5BBC"/>
    <w:rsid w:val="008F5C83"/>
    <w:rsid w:val="008F5D3F"/>
    <w:rsid w:val="008F5F57"/>
    <w:rsid w:val="0090017E"/>
    <w:rsid w:val="00900474"/>
    <w:rsid w:val="00900702"/>
    <w:rsid w:val="00900D64"/>
    <w:rsid w:val="00901DEF"/>
    <w:rsid w:val="009030D7"/>
    <w:rsid w:val="00903408"/>
    <w:rsid w:val="00903558"/>
    <w:rsid w:val="009053B4"/>
    <w:rsid w:val="00905CB7"/>
    <w:rsid w:val="00905FDD"/>
    <w:rsid w:val="0090611D"/>
    <w:rsid w:val="00912A9E"/>
    <w:rsid w:val="009136A7"/>
    <w:rsid w:val="00913D5A"/>
    <w:rsid w:val="00915247"/>
    <w:rsid w:val="00921372"/>
    <w:rsid w:val="00922187"/>
    <w:rsid w:val="009233B4"/>
    <w:rsid w:val="00925667"/>
    <w:rsid w:val="00926379"/>
    <w:rsid w:val="0092762E"/>
    <w:rsid w:val="00931A06"/>
    <w:rsid w:val="00932365"/>
    <w:rsid w:val="00932FA3"/>
    <w:rsid w:val="0093417C"/>
    <w:rsid w:val="00934360"/>
    <w:rsid w:val="009344A5"/>
    <w:rsid w:val="00934841"/>
    <w:rsid w:val="009348D5"/>
    <w:rsid w:val="00935663"/>
    <w:rsid w:val="00935812"/>
    <w:rsid w:val="00935CF6"/>
    <w:rsid w:val="00936330"/>
    <w:rsid w:val="009404D4"/>
    <w:rsid w:val="00940A82"/>
    <w:rsid w:val="009411FA"/>
    <w:rsid w:val="00943B72"/>
    <w:rsid w:val="00943CBF"/>
    <w:rsid w:val="0094547F"/>
    <w:rsid w:val="00945B1F"/>
    <w:rsid w:val="00945D08"/>
    <w:rsid w:val="00945E43"/>
    <w:rsid w:val="00946142"/>
    <w:rsid w:val="00946AFB"/>
    <w:rsid w:val="00950CAE"/>
    <w:rsid w:val="00950CCF"/>
    <w:rsid w:val="00951F46"/>
    <w:rsid w:val="009531B4"/>
    <w:rsid w:val="00953E4F"/>
    <w:rsid w:val="00956979"/>
    <w:rsid w:val="009606EA"/>
    <w:rsid w:val="0096088C"/>
    <w:rsid w:val="00960C4B"/>
    <w:rsid w:val="00962D98"/>
    <w:rsid w:val="009635AC"/>
    <w:rsid w:val="009643B2"/>
    <w:rsid w:val="00965228"/>
    <w:rsid w:val="0096523C"/>
    <w:rsid w:val="0096579E"/>
    <w:rsid w:val="00967528"/>
    <w:rsid w:val="00971D7A"/>
    <w:rsid w:val="00973E28"/>
    <w:rsid w:val="0098039B"/>
    <w:rsid w:val="00983042"/>
    <w:rsid w:val="009843AB"/>
    <w:rsid w:val="0098475F"/>
    <w:rsid w:val="0098484C"/>
    <w:rsid w:val="0098506C"/>
    <w:rsid w:val="0098569B"/>
    <w:rsid w:val="0098740A"/>
    <w:rsid w:val="00987BFD"/>
    <w:rsid w:val="009903F2"/>
    <w:rsid w:val="009944B1"/>
    <w:rsid w:val="0099469D"/>
    <w:rsid w:val="0099493E"/>
    <w:rsid w:val="00994F7B"/>
    <w:rsid w:val="00995538"/>
    <w:rsid w:val="00995920"/>
    <w:rsid w:val="009959D3"/>
    <w:rsid w:val="00996A85"/>
    <w:rsid w:val="009A07A5"/>
    <w:rsid w:val="009A4B03"/>
    <w:rsid w:val="009A67DC"/>
    <w:rsid w:val="009A78FC"/>
    <w:rsid w:val="009B0890"/>
    <w:rsid w:val="009B1418"/>
    <w:rsid w:val="009B2EA9"/>
    <w:rsid w:val="009B5308"/>
    <w:rsid w:val="009B69DF"/>
    <w:rsid w:val="009B6DD4"/>
    <w:rsid w:val="009B7659"/>
    <w:rsid w:val="009B76E9"/>
    <w:rsid w:val="009C0BA9"/>
    <w:rsid w:val="009C1364"/>
    <w:rsid w:val="009C28E3"/>
    <w:rsid w:val="009C2FBD"/>
    <w:rsid w:val="009C3887"/>
    <w:rsid w:val="009C4030"/>
    <w:rsid w:val="009C4211"/>
    <w:rsid w:val="009C4E2C"/>
    <w:rsid w:val="009C506D"/>
    <w:rsid w:val="009C5215"/>
    <w:rsid w:val="009C58DB"/>
    <w:rsid w:val="009C5FDC"/>
    <w:rsid w:val="009C6748"/>
    <w:rsid w:val="009D00EF"/>
    <w:rsid w:val="009D2EC5"/>
    <w:rsid w:val="009D33EF"/>
    <w:rsid w:val="009D35FF"/>
    <w:rsid w:val="009D3D26"/>
    <w:rsid w:val="009D4EBE"/>
    <w:rsid w:val="009D4F5C"/>
    <w:rsid w:val="009D7CD9"/>
    <w:rsid w:val="009E04E5"/>
    <w:rsid w:val="009E07A5"/>
    <w:rsid w:val="009E08DA"/>
    <w:rsid w:val="009E26C6"/>
    <w:rsid w:val="009E42D8"/>
    <w:rsid w:val="009E6AA7"/>
    <w:rsid w:val="009E6BC5"/>
    <w:rsid w:val="009E7543"/>
    <w:rsid w:val="009F0C35"/>
    <w:rsid w:val="009F13E1"/>
    <w:rsid w:val="009F15A0"/>
    <w:rsid w:val="009F16C6"/>
    <w:rsid w:val="009F1FAA"/>
    <w:rsid w:val="009F275C"/>
    <w:rsid w:val="009F332C"/>
    <w:rsid w:val="009F5A97"/>
    <w:rsid w:val="009F5D15"/>
    <w:rsid w:val="00A01391"/>
    <w:rsid w:val="00A02FD0"/>
    <w:rsid w:val="00A0379C"/>
    <w:rsid w:val="00A056EA"/>
    <w:rsid w:val="00A1195E"/>
    <w:rsid w:val="00A11E6C"/>
    <w:rsid w:val="00A122C5"/>
    <w:rsid w:val="00A14C53"/>
    <w:rsid w:val="00A15637"/>
    <w:rsid w:val="00A1792F"/>
    <w:rsid w:val="00A2010B"/>
    <w:rsid w:val="00A20854"/>
    <w:rsid w:val="00A221E2"/>
    <w:rsid w:val="00A24354"/>
    <w:rsid w:val="00A24EE4"/>
    <w:rsid w:val="00A26797"/>
    <w:rsid w:val="00A26922"/>
    <w:rsid w:val="00A26AB0"/>
    <w:rsid w:val="00A31E70"/>
    <w:rsid w:val="00A32040"/>
    <w:rsid w:val="00A3275B"/>
    <w:rsid w:val="00A3598E"/>
    <w:rsid w:val="00A35E44"/>
    <w:rsid w:val="00A36728"/>
    <w:rsid w:val="00A41080"/>
    <w:rsid w:val="00A41C5B"/>
    <w:rsid w:val="00A42491"/>
    <w:rsid w:val="00A43202"/>
    <w:rsid w:val="00A43C0C"/>
    <w:rsid w:val="00A45A0E"/>
    <w:rsid w:val="00A477F3"/>
    <w:rsid w:val="00A47B97"/>
    <w:rsid w:val="00A504C9"/>
    <w:rsid w:val="00A5075D"/>
    <w:rsid w:val="00A516CA"/>
    <w:rsid w:val="00A51FCD"/>
    <w:rsid w:val="00A5282F"/>
    <w:rsid w:val="00A52FF5"/>
    <w:rsid w:val="00A530A1"/>
    <w:rsid w:val="00A54BEA"/>
    <w:rsid w:val="00A612B2"/>
    <w:rsid w:val="00A627F1"/>
    <w:rsid w:val="00A6285A"/>
    <w:rsid w:val="00A62C65"/>
    <w:rsid w:val="00A6420D"/>
    <w:rsid w:val="00A6506D"/>
    <w:rsid w:val="00A65753"/>
    <w:rsid w:val="00A65E06"/>
    <w:rsid w:val="00A67622"/>
    <w:rsid w:val="00A7497D"/>
    <w:rsid w:val="00A75B3A"/>
    <w:rsid w:val="00A76C7D"/>
    <w:rsid w:val="00A81688"/>
    <w:rsid w:val="00A81CFA"/>
    <w:rsid w:val="00A8307B"/>
    <w:rsid w:val="00A8385D"/>
    <w:rsid w:val="00A85FA4"/>
    <w:rsid w:val="00A86B52"/>
    <w:rsid w:val="00A87E1A"/>
    <w:rsid w:val="00A90D30"/>
    <w:rsid w:val="00A916A7"/>
    <w:rsid w:val="00A91AE1"/>
    <w:rsid w:val="00A92286"/>
    <w:rsid w:val="00A935CE"/>
    <w:rsid w:val="00A95939"/>
    <w:rsid w:val="00AA119C"/>
    <w:rsid w:val="00AA2D97"/>
    <w:rsid w:val="00AA4189"/>
    <w:rsid w:val="00AA42F6"/>
    <w:rsid w:val="00AA4A2F"/>
    <w:rsid w:val="00AA6658"/>
    <w:rsid w:val="00AA790F"/>
    <w:rsid w:val="00AB0334"/>
    <w:rsid w:val="00AB0342"/>
    <w:rsid w:val="00AB193B"/>
    <w:rsid w:val="00AB256E"/>
    <w:rsid w:val="00AB3B11"/>
    <w:rsid w:val="00AB55E7"/>
    <w:rsid w:val="00AB6085"/>
    <w:rsid w:val="00AB70C0"/>
    <w:rsid w:val="00AC063B"/>
    <w:rsid w:val="00AC0A6F"/>
    <w:rsid w:val="00AC23EE"/>
    <w:rsid w:val="00AC49D3"/>
    <w:rsid w:val="00AC53F8"/>
    <w:rsid w:val="00AC740C"/>
    <w:rsid w:val="00AD054D"/>
    <w:rsid w:val="00AD07D9"/>
    <w:rsid w:val="00AD0B7F"/>
    <w:rsid w:val="00AD10E3"/>
    <w:rsid w:val="00AD68AF"/>
    <w:rsid w:val="00AD70B6"/>
    <w:rsid w:val="00AD7A79"/>
    <w:rsid w:val="00AD7BAA"/>
    <w:rsid w:val="00AE0652"/>
    <w:rsid w:val="00AE2472"/>
    <w:rsid w:val="00AE24C5"/>
    <w:rsid w:val="00AE2A70"/>
    <w:rsid w:val="00AE2F6E"/>
    <w:rsid w:val="00AE347D"/>
    <w:rsid w:val="00AE39BD"/>
    <w:rsid w:val="00AE5AB6"/>
    <w:rsid w:val="00AE6DAB"/>
    <w:rsid w:val="00AF04D7"/>
    <w:rsid w:val="00AF070A"/>
    <w:rsid w:val="00AF0916"/>
    <w:rsid w:val="00AF257B"/>
    <w:rsid w:val="00AF2919"/>
    <w:rsid w:val="00AF4631"/>
    <w:rsid w:val="00AF4B95"/>
    <w:rsid w:val="00AF5697"/>
    <w:rsid w:val="00B0061D"/>
    <w:rsid w:val="00B022AD"/>
    <w:rsid w:val="00B04776"/>
    <w:rsid w:val="00B05F60"/>
    <w:rsid w:val="00B0733A"/>
    <w:rsid w:val="00B10284"/>
    <w:rsid w:val="00B10867"/>
    <w:rsid w:val="00B10D9B"/>
    <w:rsid w:val="00B127A5"/>
    <w:rsid w:val="00B15A33"/>
    <w:rsid w:val="00B17B0B"/>
    <w:rsid w:val="00B2015F"/>
    <w:rsid w:val="00B2060D"/>
    <w:rsid w:val="00B20BFB"/>
    <w:rsid w:val="00B20D59"/>
    <w:rsid w:val="00B2362B"/>
    <w:rsid w:val="00B2635C"/>
    <w:rsid w:val="00B266E6"/>
    <w:rsid w:val="00B26A39"/>
    <w:rsid w:val="00B305CC"/>
    <w:rsid w:val="00B31EEC"/>
    <w:rsid w:val="00B3367E"/>
    <w:rsid w:val="00B3381D"/>
    <w:rsid w:val="00B34895"/>
    <w:rsid w:val="00B35622"/>
    <w:rsid w:val="00B35858"/>
    <w:rsid w:val="00B35F2E"/>
    <w:rsid w:val="00B3701E"/>
    <w:rsid w:val="00B370AA"/>
    <w:rsid w:val="00B40948"/>
    <w:rsid w:val="00B41886"/>
    <w:rsid w:val="00B42471"/>
    <w:rsid w:val="00B46E66"/>
    <w:rsid w:val="00B47081"/>
    <w:rsid w:val="00B4769A"/>
    <w:rsid w:val="00B47F53"/>
    <w:rsid w:val="00B504F1"/>
    <w:rsid w:val="00B515B7"/>
    <w:rsid w:val="00B52299"/>
    <w:rsid w:val="00B54274"/>
    <w:rsid w:val="00B543AA"/>
    <w:rsid w:val="00B54A01"/>
    <w:rsid w:val="00B5799D"/>
    <w:rsid w:val="00B612AE"/>
    <w:rsid w:val="00B62B00"/>
    <w:rsid w:val="00B62E0A"/>
    <w:rsid w:val="00B63ECD"/>
    <w:rsid w:val="00B66373"/>
    <w:rsid w:val="00B67782"/>
    <w:rsid w:val="00B7000C"/>
    <w:rsid w:val="00B7128B"/>
    <w:rsid w:val="00B7280F"/>
    <w:rsid w:val="00B7328A"/>
    <w:rsid w:val="00B73402"/>
    <w:rsid w:val="00B75FB9"/>
    <w:rsid w:val="00B76FF1"/>
    <w:rsid w:val="00B774F5"/>
    <w:rsid w:val="00B80387"/>
    <w:rsid w:val="00B82671"/>
    <w:rsid w:val="00B82B3C"/>
    <w:rsid w:val="00B82FFF"/>
    <w:rsid w:val="00B83F79"/>
    <w:rsid w:val="00B84B28"/>
    <w:rsid w:val="00B84DB0"/>
    <w:rsid w:val="00B87013"/>
    <w:rsid w:val="00B874DC"/>
    <w:rsid w:val="00B9093F"/>
    <w:rsid w:val="00B91123"/>
    <w:rsid w:val="00B912CD"/>
    <w:rsid w:val="00B93802"/>
    <w:rsid w:val="00B93C6B"/>
    <w:rsid w:val="00B94AC7"/>
    <w:rsid w:val="00B95997"/>
    <w:rsid w:val="00B959C1"/>
    <w:rsid w:val="00B97590"/>
    <w:rsid w:val="00B97B84"/>
    <w:rsid w:val="00BA0789"/>
    <w:rsid w:val="00BA0BB2"/>
    <w:rsid w:val="00BA1850"/>
    <w:rsid w:val="00BA1B45"/>
    <w:rsid w:val="00BA21DF"/>
    <w:rsid w:val="00BA3533"/>
    <w:rsid w:val="00BA4C49"/>
    <w:rsid w:val="00BA66F1"/>
    <w:rsid w:val="00BA689E"/>
    <w:rsid w:val="00BA6A14"/>
    <w:rsid w:val="00BA73C9"/>
    <w:rsid w:val="00BA79EA"/>
    <w:rsid w:val="00BB0B6B"/>
    <w:rsid w:val="00BB0E2B"/>
    <w:rsid w:val="00BB182E"/>
    <w:rsid w:val="00BB2E79"/>
    <w:rsid w:val="00BB2EA7"/>
    <w:rsid w:val="00BB5383"/>
    <w:rsid w:val="00BB5414"/>
    <w:rsid w:val="00BB5F68"/>
    <w:rsid w:val="00BB68D4"/>
    <w:rsid w:val="00BC0350"/>
    <w:rsid w:val="00BC0A4C"/>
    <w:rsid w:val="00BC1975"/>
    <w:rsid w:val="00BC225B"/>
    <w:rsid w:val="00BC2E11"/>
    <w:rsid w:val="00BC2E9D"/>
    <w:rsid w:val="00BC35F0"/>
    <w:rsid w:val="00BC7839"/>
    <w:rsid w:val="00BC7C8D"/>
    <w:rsid w:val="00BD036B"/>
    <w:rsid w:val="00BD1424"/>
    <w:rsid w:val="00BD183B"/>
    <w:rsid w:val="00BD207A"/>
    <w:rsid w:val="00BD2FD9"/>
    <w:rsid w:val="00BD4465"/>
    <w:rsid w:val="00BD456A"/>
    <w:rsid w:val="00BD6E1B"/>
    <w:rsid w:val="00BD6FEB"/>
    <w:rsid w:val="00BE0CB2"/>
    <w:rsid w:val="00BE1F8C"/>
    <w:rsid w:val="00BE30DA"/>
    <w:rsid w:val="00BE3216"/>
    <w:rsid w:val="00BE45BA"/>
    <w:rsid w:val="00BE45C7"/>
    <w:rsid w:val="00BE4AB4"/>
    <w:rsid w:val="00BE58B1"/>
    <w:rsid w:val="00BF0697"/>
    <w:rsid w:val="00BF0F75"/>
    <w:rsid w:val="00BF1909"/>
    <w:rsid w:val="00BF29E3"/>
    <w:rsid w:val="00C017B9"/>
    <w:rsid w:val="00C03827"/>
    <w:rsid w:val="00C0483D"/>
    <w:rsid w:val="00C04F82"/>
    <w:rsid w:val="00C0744C"/>
    <w:rsid w:val="00C1014E"/>
    <w:rsid w:val="00C114C0"/>
    <w:rsid w:val="00C12C10"/>
    <w:rsid w:val="00C144AF"/>
    <w:rsid w:val="00C146EC"/>
    <w:rsid w:val="00C16AA9"/>
    <w:rsid w:val="00C170A9"/>
    <w:rsid w:val="00C201C4"/>
    <w:rsid w:val="00C216EC"/>
    <w:rsid w:val="00C21F17"/>
    <w:rsid w:val="00C23617"/>
    <w:rsid w:val="00C24732"/>
    <w:rsid w:val="00C24A7A"/>
    <w:rsid w:val="00C24C2A"/>
    <w:rsid w:val="00C251B4"/>
    <w:rsid w:val="00C25CF5"/>
    <w:rsid w:val="00C267E1"/>
    <w:rsid w:val="00C30CA4"/>
    <w:rsid w:val="00C311B6"/>
    <w:rsid w:val="00C31910"/>
    <w:rsid w:val="00C32374"/>
    <w:rsid w:val="00C32A73"/>
    <w:rsid w:val="00C34682"/>
    <w:rsid w:val="00C35000"/>
    <w:rsid w:val="00C3528A"/>
    <w:rsid w:val="00C368FD"/>
    <w:rsid w:val="00C36C91"/>
    <w:rsid w:val="00C37015"/>
    <w:rsid w:val="00C40327"/>
    <w:rsid w:val="00C40544"/>
    <w:rsid w:val="00C419DF"/>
    <w:rsid w:val="00C42664"/>
    <w:rsid w:val="00C44447"/>
    <w:rsid w:val="00C4477F"/>
    <w:rsid w:val="00C44DB6"/>
    <w:rsid w:val="00C457FF"/>
    <w:rsid w:val="00C45F5D"/>
    <w:rsid w:val="00C46F3B"/>
    <w:rsid w:val="00C46F66"/>
    <w:rsid w:val="00C47556"/>
    <w:rsid w:val="00C50B50"/>
    <w:rsid w:val="00C51229"/>
    <w:rsid w:val="00C51A6D"/>
    <w:rsid w:val="00C547F5"/>
    <w:rsid w:val="00C55E99"/>
    <w:rsid w:val="00C567FA"/>
    <w:rsid w:val="00C57F80"/>
    <w:rsid w:val="00C61504"/>
    <w:rsid w:val="00C63E9C"/>
    <w:rsid w:val="00C6451F"/>
    <w:rsid w:val="00C64998"/>
    <w:rsid w:val="00C64DB2"/>
    <w:rsid w:val="00C651E0"/>
    <w:rsid w:val="00C663ED"/>
    <w:rsid w:val="00C67671"/>
    <w:rsid w:val="00C6774C"/>
    <w:rsid w:val="00C71FD9"/>
    <w:rsid w:val="00C72214"/>
    <w:rsid w:val="00C75978"/>
    <w:rsid w:val="00C76652"/>
    <w:rsid w:val="00C76E39"/>
    <w:rsid w:val="00C80ABD"/>
    <w:rsid w:val="00C80BA2"/>
    <w:rsid w:val="00C831E8"/>
    <w:rsid w:val="00C843FD"/>
    <w:rsid w:val="00C8448D"/>
    <w:rsid w:val="00C853B8"/>
    <w:rsid w:val="00C85F5C"/>
    <w:rsid w:val="00C901CA"/>
    <w:rsid w:val="00C9301F"/>
    <w:rsid w:val="00CA1193"/>
    <w:rsid w:val="00CA1D7A"/>
    <w:rsid w:val="00CA20EB"/>
    <w:rsid w:val="00CA2B71"/>
    <w:rsid w:val="00CA37E9"/>
    <w:rsid w:val="00CA5234"/>
    <w:rsid w:val="00CA766F"/>
    <w:rsid w:val="00CA7B1F"/>
    <w:rsid w:val="00CB0189"/>
    <w:rsid w:val="00CB0503"/>
    <w:rsid w:val="00CB4B7A"/>
    <w:rsid w:val="00CB5405"/>
    <w:rsid w:val="00CB5875"/>
    <w:rsid w:val="00CB70D9"/>
    <w:rsid w:val="00CC0156"/>
    <w:rsid w:val="00CC0626"/>
    <w:rsid w:val="00CC06E9"/>
    <w:rsid w:val="00CC10B1"/>
    <w:rsid w:val="00CC3C20"/>
    <w:rsid w:val="00CC66B2"/>
    <w:rsid w:val="00CD16DB"/>
    <w:rsid w:val="00CD1893"/>
    <w:rsid w:val="00CD2279"/>
    <w:rsid w:val="00CD27E1"/>
    <w:rsid w:val="00CD2A7A"/>
    <w:rsid w:val="00CD2C53"/>
    <w:rsid w:val="00CD3054"/>
    <w:rsid w:val="00CD5499"/>
    <w:rsid w:val="00CD6117"/>
    <w:rsid w:val="00CD7340"/>
    <w:rsid w:val="00CD7929"/>
    <w:rsid w:val="00CD7CAC"/>
    <w:rsid w:val="00CD7EF9"/>
    <w:rsid w:val="00CE2394"/>
    <w:rsid w:val="00CE5552"/>
    <w:rsid w:val="00CE63C7"/>
    <w:rsid w:val="00CF02FF"/>
    <w:rsid w:val="00CF0EBC"/>
    <w:rsid w:val="00CF1A76"/>
    <w:rsid w:val="00CF377D"/>
    <w:rsid w:val="00CF519A"/>
    <w:rsid w:val="00CF53E9"/>
    <w:rsid w:val="00CF60D5"/>
    <w:rsid w:val="00CF6170"/>
    <w:rsid w:val="00CF6203"/>
    <w:rsid w:val="00D00D67"/>
    <w:rsid w:val="00D01326"/>
    <w:rsid w:val="00D0136C"/>
    <w:rsid w:val="00D01382"/>
    <w:rsid w:val="00D06BFD"/>
    <w:rsid w:val="00D074BE"/>
    <w:rsid w:val="00D0767A"/>
    <w:rsid w:val="00D07EE4"/>
    <w:rsid w:val="00D15838"/>
    <w:rsid w:val="00D16F56"/>
    <w:rsid w:val="00D170AE"/>
    <w:rsid w:val="00D21A42"/>
    <w:rsid w:val="00D22A26"/>
    <w:rsid w:val="00D22D51"/>
    <w:rsid w:val="00D2300E"/>
    <w:rsid w:val="00D24824"/>
    <w:rsid w:val="00D24CC3"/>
    <w:rsid w:val="00D25A18"/>
    <w:rsid w:val="00D26D70"/>
    <w:rsid w:val="00D321BE"/>
    <w:rsid w:val="00D32B1F"/>
    <w:rsid w:val="00D335A7"/>
    <w:rsid w:val="00D37096"/>
    <w:rsid w:val="00D37DF0"/>
    <w:rsid w:val="00D417A3"/>
    <w:rsid w:val="00D42576"/>
    <w:rsid w:val="00D43181"/>
    <w:rsid w:val="00D435D7"/>
    <w:rsid w:val="00D436C6"/>
    <w:rsid w:val="00D44DD0"/>
    <w:rsid w:val="00D44FBE"/>
    <w:rsid w:val="00D46FC9"/>
    <w:rsid w:val="00D47B78"/>
    <w:rsid w:val="00D51597"/>
    <w:rsid w:val="00D5167D"/>
    <w:rsid w:val="00D5260A"/>
    <w:rsid w:val="00D52D7A"/>
    <w:rsid w:val="00D539E8"/>
    <w:rsid w:val="00D53AC5"/>
    <w:rsid w:val="00D56E6A"/>
    <w:rsid w:val="00D602D3"/>
    <w:rsid w:val="00D612B7"/>
    <w:rsid w:val="00D61D94"/>
    <w:rsid w:val="00D62FBA"/>
    <w:rsid w:val="00D63142"/>
    <w:rsid w:val="00D6459F"/>
    <w:rsid w:val="00D64BA2"/>
    <w:rsid w:val="00D6500C"/>
    <w:rsid w:val="00D65754"/>
    <w:rsid w:val="00D6742C"/>
    <w:rsid w:val="00D676CE"/>
    <w:rsid w:val="00D70E94"/>
    <w:rsid w:val="00D71356"/>
    <w:rsid w:val="00D76095"/>
    <w:rsid w:val="00D76E19"/>
    <w:rsid w:val="00D774CF"/>
    <w:rsid w:val="00D77C7E"/>
    <w:rsid w:val="00D8024E"/>
    <w:rsid w:val="00D825B6"/>
    <w:rsid w:val="00D8326E"/>
    <w:rsid w:val="00D84358"/>
    <w:rsid w:val="00D84B5F"/>
    <w:rsid w:val="00D85988"/>
    <w:rsid w:val="00D85F5A"/>
    <w:rsid w:val="00D87861"/>
    <w:rsid w:val="00D91C77"/>
    <w:rsid w:val="00D939E3"/>
    <w:rsid w:val="00D94AA9"/>
    <w:rsid w:val="00D955F8"/>
    <w:rsid w:val="00DA1005"/>
    <w:rsid w:val="00DA2A45"/>
    <w:rsid w:val="00DA2E43"/>
    <w:rsid w:val="00DA2E51"/>
    <w:rsid w:val="00DA3767"/>
    <w:rsid w:val="00DA3E5E"/>
    <w:rsid w:val="00DA467C"/>
    <w:rsid w:val="00DA5CF4"/>
    <w:rsid w:val="00DA5E45"/>
    <w:rsid w:val="00DB1287"/>
    <w:rsid w:val="00DB261E"/>
    <w:rsid w:val="00DB2651"/>
    <w:rsid w:val="00DB2D23"/>
    <w:rsid w:val="00DB33C4"/>
    <w:rsid w:val="00DB36D4"/>
    <w:rsid w:val="00DB56A8"/>
    <w:rsid w:val="00DC0FC7"/>
    <w:rsid w:val="00DC15DA"/>
    <w:rsid w:val="00DC167E"/>
    <w:rsid w:val="00DC1A89"/>
    <w:rsid w:val="00DC2B95"/>
    <w:rsid w:val="00DC3894"/>
    <w:rsid w:val="00DC3C6F"/>
    <w:rsid w:val="00DC514C"/>
    <w:rsid w:val="00DC57E7"/>
    <w:rsid w:val="00DC5DDD"/>
    <w:rsid w:val="00DC689F"/>
    <w:rsid w:val="00DC7995"/>
    <w:rsid w:val="00DD1B15"/>
    <w:rsid w:val="00DD396E"/>
    <w:rsid w:val="00DD3CF7"/>
    <w:rsid w:val="00DD47DC"/>
    <w:rsid w:val="00DD4C12"/>
    <w:rsid w:val="00DD50DC"/>
    <w:rsid w:val="00DD6B56"/>
    <w:rsid w:val="00DD7BDE"/>
    <w:rsid w:val="00DE0672"/>
    <w:rsid w:val="00DE0736"/>
    <w:rsid w:val="00DE0B64"/>
    <w:rsid w:val="00DE0DB0"/>
    <w:rsid w:val="00DE18ED"/>
    <w:rsid w:val="00DE2A6E"/>
    <w:rsid w:val="00DE2DC3"/>
    <w:rsid w:val="00DF114D"/>
    <w:rsid w:val="00DF4E11"/>
    <w:rsid w:val="00DF4E95"/>
    <w:rsid w:val="00DF5F4E"/>
    <w:rsid w:val="00DF61FE"/>
    <w:rsid w:val="00DF75AF"/>
    <w:rsid w:val="00E008D0"/>
    <w:rsid w:val="00E02AE2"/>
    <w:rsid w:val="00E04015"/>
    <w:rsid w:val="00E063E9"/>
    <w:rsid w:val="00E10539"/>
    <w:rsid w:val="00E10A62"/>
    <w:rsid w:val="00E10A81"/>
    <w:rsid w:val="00E12674"/>
    <w:rsid w:val="00E14A94"/>
    <w:rsid w:val="00E1648B"/>
    <w:rsid w:val="00E16F0F"/>
    <w:rsid w:val="00E20EA8"/>
    <w:rsid w:val="00E21755"/>
    <w:rsid w:val="00E21758"/>
    <w:rsid w:val="00E231DA"/>
    <w:rsid w:val="00E24E25"/>
    <w:rsid w:val="00E25343"/>
    <w:rsid w:val="00E25895"/>
    <w:rsid w:val="00E25A85"/>
    <w:rsid w:val="00E25BB8"/>
    <w:rsid w:val="00E26CC4"/>
    <w:rsid w:val="00E26E54"/>
    <w:rsid w:val="00E27557"/>
    <w:rsid w:val="00E2787F"/>
    <w:rsid w:val="00E27982"/>
    <w:rsid w:val="00E30F4E"/>
    <w:rsid w:val="00E32619"/>
    <w:rsid w:val="00E37909"/>
    <w:rsid w:val="00E404FC"/>
    <w:rsid w:val="00E414D7"/>
    <w:rsid w:val="00E41619"/>
    <w:rsid w:val="00E42588"/>
    <w:rsid w:val="00E440CA"/>
    <w:rsid w:val="00E4646A"/>
    <w:rsid w:val="00E464C8"/>
    <w:rsid w:val="00E46D10"/>
    <w:rsid w:val="00E47F19"/>
    <w:rsid w:val="00E514EA"/>
    <w:rsid w:val="00E51673"/>
    <w:rsid w:val="00E64EE0"/>
    <w:rsid w:val="00E6541D"/>
    <w:rsid w:val="00E65571"/>
    <w:rsid w:val="00E6697C"/>
    <w:rsid w:val="00E70946"/>
    <w:rsid w:val="00E70F94"/>
    <w:rsid w:val="00E76455"/>
    <w:rsid w:val="00E76F1D"/>
    <w:rsid w:val="00E77264"/>
    <w:rsid w:val="00E81241"/>
    <w:rsid w:val="00E81350"/>
    <w:rsid w:val="00E83907"/>
    <w:rsid w:val="00E84E00"/>
    <w:rsid w:val="00E859FF"/>
    <w:rsid w:val="00E86029"/>
    <w:rsid w:val="00E8725A"/>
    <w:rsid w:val="00E875A0"/>
    <w:rsid w:val="00E87925"/>
    <w:rsid w:val="00E87C56"/>
    <w:rsid w:val="00E87E6A"/>
    <w:rsid w:val="00E9025D"/>
    <w:rsid w:val="00E90CC2"/>
    <w:rsid w:val="00E93782"/>
    <w:rsid w:val="00E94B3E"/>
    <w:rsid w:val="00E94D93"/>
    <w:rsid w:val="00EA183E"/>
    <w:rsid w:val="00EA1C2A"/>
    <w:rsid w:val="00EA27F2"/>
    <w:rsid w:val="00EA313A"/>
    <w:rsid w:val="00EA38DA"/>
    <w:rsid w:val="00EA3CDC"/>
    <w:rsid w:val="00EA57D1"/>
    <w:rsid w:val="00EA6105"/>
    <w:rsid w:val="00EA6D2E"/>
    <w:rsid w:val="00EA6DCC"/>
    <w:rsid w:val="00EA7221"/>
    <w:rsid w:val="00EA7B62"/>
    <w:rsid w:val="00EB017A"/>
    <w:rsid w:val="00EB0435"/>
    <w:rsid w:val="00EB1A7D"/>
    <w:rsid w:val="00EB1B34"/>
    <w:rsid w:val="00EB2D82"/>
    <w:rsid w:val="00EB32FB"/>
    <w:rsid w:val="00EB3C3A"/>
    <w:rsid w:val="00EB45C0"/>
    <w:rsid w:val="00EB555C"/>
    <w:rsid w:val="00EB66A3"/>
    <w:rsid w:val="00EC0778"/>
    <w:rsid w:val="00EC1018"/>
    <w:rsid w:val="00EC1C51"/>
    <w:rsid w:val="00EC7A24"/>
    <w:rsid w:val="00ED032A"/>
    <w:rsid w:val="00ED1E41"/>
    <w:rsid w:val="00ED4515"/>
    <w:rsid w:val="00ED55F2"/>
    <w:rsid w:val="00ED58A4"/>
    <w:rsid w:val="00ED6C27"/>
    <w:rsid w:val="00ED72C3"/>
    <w:rsid w:val="00EE10F9"/>
    <w:rsid w:val="00EE12CE"/>
    <w:rsid w:val="00EE28F4"/>
    <w:rsid w:val="00EE4F7C"/>
    <w:rsid w:val="00EE6303"/>
    <w:rsid w:val="00EE7020"/>
    <w:rsid w:val="00EF0331"/>
    <w:rsid w:val="00EF129C"/>
    <w:rsid w:val="00EF1DFA"/>
    <w:rsid w:val="00EF417B"/>
    <w:rsid w:val="00EF4786"/>
    <w:rsid w:val="00EF4A70"/>
    <w:rsid w:val="00EF56F5"/>
    <w:rsid w:val="00EF5B0C"/>
    <w:rsid w:val="00EF6244"/>
    <w:rsid w:val="00EF6637"/>
    <w:rsid w:val="00EF6B5E"/>
    <w:rsid w:val="00F00F4F"/>
    <w:rsid w:val="00F02FE0"/>
    <w:rsid w:val="00F05396"/>
    <w:rsid w:val="00F06D0C"/>
    <w:rsid w:val="00F072F2"/>
    <w:rsid w:val="00F07926"/>
    <w:rsid w:val="00F1043B"/>
    <w:rsid w:val="00F11931"/>
    <w:rsid w:val="00F11C88"/>
    <w:rsid w:val="00F122F1"/>
    <w:rsid w:val="00F12CA4"/>
    <w:rsid w:val="00F14147"/>
    <w:rsid w:val="00F157CC"/>
    <w:rsid w:val="00F20E39"/>
    <w:rsid w:val="00F2286F"/>
    <w:rsid w:val="00F249F2"/>
    <w:rsid w:val="00F2538D"/>
    <w:rsid w:val="00F25D73"/>
    <w:rsid w:val="00F267C2"/>
    <w:rsid w:val="00F30349"/>
    <w:rsid w:val="00F310AA"/>
    <w:rsid w:val="00F31393"/>
    <w:rsid w:val="00F3200A"/>
    <w:rsid w:val="00F324E7"/>
    <w:rsid w:val="00F33912"/>
    <w:rsid w:val="00F33EB2"/>
    <w:rsid w:val="00F34287"/>
    <w:rsid w:val="00F3593C"/>
    <w:rsid w:val="00F35B38"/>
    <w:rsid w:val="00F40C29"/>
    <w:rsid w:val="00F41CE5"/>
    <w:rsid w:val="00F421A4"/>
    <w:rsid w:val="00F425E1"/>
    <w:rsid w:val="00F42BA5"/>
    <w:rsid w:val="00F43357"/>
    <w:rsid w:val="00F50339"/>
    <w:rsid w:val="00F510C0"/>
    <w:rsid w:val="00F51290"/>
    <w:rsid w:val="00F519A5"/>
    <w:rsid w:val="00F52D9B"/>
    <w:rsid w:val="00F542E4"/>
    <w:rsid w:val="00F54759"/>
    <w:rsid w:val="00F56062"/>
    <w:rsid w:val="00F56777"/>
    <w:rsid w:val="00F578D4"/>
    <w:rsid w:val="00F5798A"/>
    <w:rsid w:val="00F57CE0"/>
    <w:rsid w:val="00F607E0"/>
    <w:rsid w:val="00F6384A"/>
    <w:rsid w:val="00F6399D"/>
    <w:rsid w:val="00F6599C"/>
    <w:rsid w:val="00F6670C"/>
    <w:rsid w:val="00F66EE8"/>
    <w:rsid w:val="00F67499"/>
    <w:rsid w:val="00F67828"/>
    <w:rsid w:val="00F70834"/>
    <w:rsid w:val="00F7225D"/>
    <w:rsid w:val="00F73060"/>
    <w:rsid w:val="00F731CA"/>
    <w:rsid w:val="00F73678"/>
    <w:rsid w:val="00F743DB"/>
    <w:rsid w:val="00F76CEA"/>
    <w:rsid w:val="00F77EE0"/>
    <w:rsid w:val="00F807B8"/>
    <w:rsid w:val="00F81180"/>
    <w:rsid w:val="00F82BDA"/>
    <w:rsid w:val="00F83477"/>
    <w:rsid w:val="00F83B38"/>
    <w:rsid w:val="00F85DE7"/>
    <w:rsid w:val="00F91E1B"/>
    <w:rsid w:val="00F91F7A"/>
    <w:rsid w:val="00F94309"/>
    <w:rsid w:val="00F95697"/>
    <w:rsid w:val="00F9643C"/>
    <w:rsid w:val="00FA1F71"/>
    <w:rsid w:val="00FA228E"/>
    <w:rsid w:val="00FA25C3"/>
    <w:rsid w:val="00FA27D4"/>
    <w:rsid w:val="00FA30D9"/>
    <w:rsid w:val="00FA5AEF"/>
    <w:rsid w:val="00FA6EC7"/>
    <w:rsid w:val="00FA74B9"/>
    <w:rsid w:val="00FA7B12"/>
    <w:rsid w:val="00FA7DF7"/>
    <w:rsid w:val="00FB06CA"/>
    <w:rsid w:val="00FB1B6D"/>
    <w:rsid w:val="00FB3C16"/>
    <w:rsid w:val="00FB4170"/>
    <w:rsid w:val="00FB476F"/>
    <w:rsid w:val="00FB47D8"/>
    <w:rsid w:val="00FB52DF"/>
    <w:rsid w:val="00FB5950"/>
    <w:rsid w:val="00FB7F3B"/>
    <w:rsid w:val="00FC0CCC"/>
    <w:rsid w:val="00FC20B7"/>
    <w:rsid w:val="00FC22A1"/>
    <w:rsid w:val="00FC2804"/>
    <w:rsid w:val="00FC282F"/>
    <w:rsid w:val="00FC3192"/>
    <w:rsid w:val="00FC335E"/>
    <w:rsid w:val="00FC3748"/>
    <w:rsid w:val="00FC4974"/>
    <w:rsid w:val="00FC4DB3"/>
    <w:rsid w:val="00FC7110"/>
    <w:rsid w:val="00FC74A1"/>
    <w:rsid w:val="00FC7872"/>
    <w:rsid w:val="00FC7E34"/>
    <w:rsid w:val="00FD0BB6"/>
    <w:rsid w:val="00FD0EB2"/>
    <w:rsid w:val="00FD1891"/>
    <w:rsid w:val="00FD1D56"/>
    <w:rsid w:val="00FD295D"/>
    <w:rsid w:val="00FD2C8F"/>
    <w:rsid w:val="00FD46FE"/>
    <w:rsid w:val="00FD53D1"/>
    <w:rsid w:val="00FD62B0"/>
    <w:rsid w:val="00FD70A6"/>
    <w:rsid w:val="00FD7ACD"/>
    <w:rsid w:val="00FE2A70"/>
    <w:rsid w:val="00FE301B"/>
    <w:rsid w:val="00FE3840"/>
    <w:rsid w:val="00FE3AA1"/>
    <w:rsid w:val="00FE45AB"/>
    <w:rsid w:val="00FE470C"/>
    <w:rsid w:val="00FE5E21"/>
    <w:rsid w:val="00FE7E82"/>
    <w:rsid w:val="00FF30A3"/>
    <w:rsid w:val="00FF5455"/>
    <w:rsid w:val="00FF589D"/>
    <w:rsid w:val="00FF7446"/>
    <w:rsid w:val="00FF7E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8C0"/>
  <w15:chartTrackingRefBased/>
  <w15:docId w15:val="{C92E63A8-5019-471C-87E9-3AC25A89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1,List Paragraph1,List Bullet Mary,Numbered List Paragraph,Bullets,List Bullet-OpsManual,References,Title Style 1,Colorful List - Accent 11,Listes,List Paragraph (numbered (a)),Dot pt,F5 List Paragraph,No Spacing1"/>
    <w:basedOn w:val="Normal"/>
    <w:link w:val="ParagraphedelisteCar"/>
    <w:uiPriority w:val="34"/>
    <w:qFormat/>
    <w:rsid w:val="008B2489"/>
    <w:pPr>
      <w:ind w:left="720"/>
      <w:contextualSpacing/>
    </w:pPr>
  </w:style>
  <w:style w:type="paragraph" w:customStyle="1" w:styleId="Default">
    <w:name w:val="Default"/>
    <w:rsid w:val="001718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Marquedecommentaire">
    <w:name w:val="annotation reference"/>
    <w:basedOn w:val="Policepardfaut"/>
    <w:uiPriority w:val="99"/>
    <w:unhideWhenUsed/>
    <w:rsid w:val="00171892"/>
    <w:rPr>
      <w:sz w:val="16"/>
      <w:szCs w:val="16"/>
    </w:rPr>
  </w:style>
  <w:style w:type="paragraph" w:styleId="Commentaire">
    <w:name w:val="annotation text"/>
    <w:basedOn w:val="Normal"/>
    <w:link w:val="CommentaireCar"/>
    <w:uiPriority w:val="99"/>
    <w:unhideWhenUsed/>
    <w:rsid w:val="00171892"/>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171892"/>
    <w:rPr>
      <w:rFonts w:ascii="Times New Roman" w:eastAsia="Times New Roman" w:hAnsi="Times New Roman" w:cs="Times New Roman"/>
      <w:sz w:val="20"/>
      <w:szCs w:val="20"/>
      <w:lang w:val="en-US"/>
    </w:rPr>
  </w:style>
  <w:style w:type="character" w:customStyle="1" w:styleId="ParagraphedelisteCar">
    <w:name w:val="Paragraphe de liste Car"/>
    <w:aliases w:val="List Paragraph 1 Car,List Paragraph1 Car,List Bullet Mary Car,Numbered List Paragraph Car,Bullets Car,List Bullet-OpsManual Car,References Car,Title Style 1 Car,Colorful List - Accent 11 Car,Listes Car,Dot pt Car,No Spacing1 Car"/>
    <w:link w:val="Paragraphedeliste"/>
    <w:uiPriority w:val="34"/>
    <w:qFormat/>
    <w:locked/>
    <w:rsid w:val="00171892"/>
  </w:style>
  <w:style w:type="paragraph" w:styleId="Textedebulles">
    <w:name w:val="Balloon Text"/>
    <w:basedOn w:val="Normal"/>
    <w:link w:val="TextedebullesCar"/>
    <w:uiPriority w:val="99"/>
    <w:semiHidden/>
    <w:unhideWhenUsed/>
    <w:rsid w:val="001718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89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512D7"/>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512D7"/>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173CE3"/>
    <w:pPr>
      <w:tabs>
        <w:tab w:val="center" w:pos="4536"/>
        <w:tab w:val="right" w:pos="9072"/>
      </w:tabs>
      <w:spacing w:after="0" w:line="240" w:lineRule="auto"/>
    </w:pPr>
  </w:style>
  <w:style w:type="character" w:customStyle="1" w:styleId="En-tteCar">
    <w:name w:val="En-tête Car"/>
    <w:basedOn w:val="Policepardfaut"/>
    <w:link w:val="En-tte"/>
    <w:uiPriority w:val="99"/>
    <w:rsid w:val="00173CE3"/>
  </w:style>
  <w:style w:type="paragraph" w:styleId="Pieddepage">
    <w:name w:val="footer"/>
    <w:basedOn w:val="Normal"/>
    <w:link w:val="PieddepageCar"/>
    <w:uiPriority w:val="99"/>
    <w:unhideWhenUsed/>
    <w:rsid w:val="00173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CE3"/>
  </w:style>
  <w:style w:type="paragraph" w:styleId="PrformatHTML">
    <w:name w:val="HTML Preformatted"/>
    <w:basedOn w:val="Normal"/>
    <w:link w:val="PrformatHTMLCar"/>
    <w:uiPriority w:val="99"/>
    <w:semiHidden/>
    <w:unhideWhenUsed/>
    <w:rsid w:val="001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42B4B"/>
    <w:rPr>
      <w:rFonts w:ascii="Courier New" w:eastAsia="Times New Roman" w:hAnsi="Courier New" w:cs="Courier New"/>
      <w:sz w:val="20"/>
      <w:szCs w:val="20"/>
    </w:rPr>
  </w:style>
  <w:style w:type="paragraph" w:customStyle="1" w:styleId="1Normal">
    <w:name w:val="1.Normal"/>
    <w:basedOn w:val="Normal"/>
    <w:autoRedefine/>
    <w:qFormat/>
    <w:rsid w:val="003D2027"/>
    <w:pPr>
      <w:spacing w:line="256" w:lineRule="auto"/>
    </w:pPr>
    <w:rPr>
      <w:lang w:val="en-US"/>
    </w:rPr>
  </w:style>
  <w:style w:type="paragraph" w:styleId="Notedebasdepage">
    <w:name w:val="footnote text"/>
    <w:basedOn w:val="Normal"/>
    <w:link w:val="NotedebasdepageCar"/>
    <w:uiPriority w:val="99"/>
    <w:semiHidden/>
    <w:unhideWhenUsed/>
    <w:rsid w:val="00427A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7AA7"/>
    <w:rPr>
      <w:sz w:val="20"/>
      <w:szCs w:val="20"/>
    </w:rPr>
  </w:style>
  <w:style w:type="character" w:styleId="Appelnotedebasdep">
    <w:name w:val="footnote reference"/>
    <w:basedOn w:val="Policepardfaut"/>
    <w:uiPriority w:val="99"/>
    <w:semiHidden/>
    <w:unhideWhenUsed/>
    <w:rsid w:val="00427AA7"/>
    <w:rPr>
      <w:vertAlign w:val="superscript"/>
    </w:rPr>
  </w:style>
  <w:style w:type="paragraph" w:styleId="Rvision">
    <w:name w:val="Revision"/>
    <w:hidden/>
    <w:uiPriority w:val="99"/>
    <w:semiHidden/>
    <w:rsid w:val="00187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4013">
      <w:bodyDiv w:val="1"/>
      <w:marLeft w:val="0"/>
      <w:marRight w:val="0"/>
      <w:marTop w:val="0"/>
      <w:marBottom w:val="0"/>
      <w:divBdr>
        <w:top w:val="none" w:sz="0" w:space="0" w:color="auto"/>
        <w:left w:val="none" w:sz="0" w:space="0" w:color="auto"/>
        <w:bottom w:val="none" w:sz="0" w:space="0" w:color="auto"/>
        <w:right w:val="none" w:sz="0" w:space="0" w:color="auto"/>
      </w:divBdr>
    </w:div>
    <w:div w:id="684865721">
      <w:bodyDiv w:val="1"/>
      <w:marLeft w:val="0"/>
      <w:marRight w:val="0"/>
      <w:marTop w:val="0"/>
      <w:marBottom w:val="0"/>
      <w:divBdr>
        <w:top w:val="none" w:sz="0" w:space="0" w:color="auto"/>
        <w:left w:val="none" w:sz="0" w:space="0" w:color="auto"/>
        <w:bottom w:val="none" w:sz="0" w:space="0" w:color="auto"/>
        <w:right w:val="none" w:sz="0" w:space="0" w:color="auto"/>
      </w:divBdr>
      <w:divsChild>
        <w:div w:id="160976515">
          <w:marLeft w:val="806"/>
          <w:marRight w:val="0"/>
          <w:marTop w:val="144"/>
          <w:marBottom w:val="0"/>
          <w:divBdr>
            <w:top w:val="none" w:sz="0" w:space="0" w:color="auto"/>
            <w:left w:val="none" w:sz="0" w:space="0" w:color="auto"/>
            <w:bottom w:val="none" w:sz="0" w:space="0" w:color="auto"/>
            <w:right w:val="none" w:sz="0" w:space="0" w:color="auto"/>
          </w:divBdr>
        </w:div>
      </w:divsChild>
    </w:div>
    <w:div w:id="768896218">
      <w:bodyDiv w:val="1"/>
      <w:marLeft w:val="0"/>
      <w:marRight w:val="0"/>
      <w:marTop w:val="0"/>
      <w:marBottom w:val="0"/>
      <w:divBdr>
        <w:top w:val="none" w:sz="0" w:space="0" w:color="auto"/>
        <w:left w:val="none" w:sz="0" w:space="0" w:color="auto"/>
        <w:bottom w:val="none" w:sz="0" w:space="0" w:color="auto"/>
        <w:right w:val="none" w:sz="0" w:space="0" w:color="auto"/>
      </w:divBdr>
    </w:div>
    <w:div w:id="1001473064">
      <w:bodyDiv w:val="1"/>
      <w:marLeft w:val="0"/>
      <w:marRight w:val="0"/>
      <w:marTop w:val="0"/>
      <w:marBottom w:val="0"/>
      <w:divBdr>
        <w:top w:val="none" w:sz="0" w:space="0" w:color="auto"/>
        <w:left w:val="none" w:sz="0" w:space="0" w:color="auto"/>
        <w:bottom w:val="none" w:sz="0" w:space="0" w:color="auto"/>
        <w:right w:val="none" w:sz="0" w:space="0" w:color="auto"/>
      </w:divBdr>
    </w:div>
    <w:div w:id="1012225789">
      <w:bodyDiv w:val="1"/>
      <w:marLeft w:val="0"/>
      <w:marRight w:val="0"/>
      <w:marTop w:val="0"/>
      <w:marBottom w:val="0"/>
      <w:divBdr>
        <w:top w:val="none" w:sz="0" w:space="0" w:color="auto"/>
        <w:left w:val="none" w:sz="0" w:space="0" w:color="auto"/>
        <w:bottom w:val="none" w:sz="0" w:space="0" w:color="auto"/>
        <w:right w:val="none" w:sz="0" w:space="0" w:color="auto"/>
      </w:divBdr>
    </w:div>
    <w:div w:id="1349138510">
      <w:bodyDiv w:val="1"/>
      <w:marLeft w:val="0"/>
      <w:marRight w:val="0"/>
      <w:marTop w:val="0"/>
      <w:marBottom w:val="0"/>
      <w:divBdr>
        <w:top w:val="none" w:sz="0" w:space="0" w:color="auto"/>
        <w:left w:val="none" w:sz="0" w:space="0" w:color="auto"/>
        <w:bottom w:val="none" w:sz="0" w:space="0" w:color="auto"/>
        <w:right w:val="none" w:sz="0" w:space="0" w:color="auto"/>
      </w:divBdr>
      <w:divsChild>
        <w:div w:id="327904791">
          <w:marLeft w:val="806"/>
          <w:marRight w:val="0"/>
          <w:marTop w:val="144"/>
          <w:marBottom w:val="0"/>
          <w:divBdr>
            <w:top w:val="none" w:sz="0" w:space="0" w:color="auto"/>
            <w:left w:val="none" w:sz="0" w:space="0" w:color="auto"/>
            <w:bottom w:val="none" w:sz="0" w:space="0" w:color="auto"/>
            <w:right w:val="none" w:sz="0" w:space="0" w:color="auto"/>
          </w:divBdr>
        </w:div>
        <w:div w:id="1550654478">
          <w:marLeft w:val="806"/>
          <w:marRight w:val="0"/>
          <w:marTop w:val="144"/>
          <w:marBottom w:val="0"/>
          <w:divBdr>
            <w:top w:val="none" w:sz="0" w:space="0" w:color="auto"/>
            <w:left w:val="none" w:sz="0" w:space="0" w:color="auto"/>
            <w:bottom w:val="none" w:sz="0" w:space="0" w:color="auto"/>
            <w:right w:val="none" w:sz="0" w:space="0" w:color="auto"/>
          </w:divBdr>
        </w:div>
        <w:div w:id="726074951">
          <w:marLeft w:val="806"/>
          <w:marRight w:val="0"/>
          <w:marTop w:val="144"/>
          <w:marBottom w:val="0"/>
          <w:divBdr>
            <w:top w:val="none" w:sz="0" w:space="0" w:color="auto"/>
            <w:left w:val="none" w:sz="0" w:space="0" w:color="auto"/>
            <w:bottom w:val="none" w:sz="0" w:space="0" w:color="auto"/>
            <w:right w:val="none" w:sz="0" w:space="0" w:color="auto"/>
          </w:divBdr>
        </w:div>
      </w:divsChild>
    </w:div>
    <w:div w:id="1407876653">
      <w:bodyDiv w:val="1"/>
      <w:marLeft w:val="0"/>
      <w:marRight w:val="0"/>
      <w:marTop w:val="0"/>
      <w:marBottom w:val="0"/>
      <w:divBdr>
        <w:top w:val="none" w:sz="0" w:space="0" w:color="auto"/>
        <w:left w:val="none" w:sz="0" w:space="0" w:color="auto"/>
        <w:bottom w:val="none" w:sz="0" w:space="0" w:color="auto"/>
        <w:right w:val="none" w:sz="0" w:space="0" w:color="auto"/>
      </w:divBdr>
    </w:div>
    <w:div w:id="1707296674">
      <w:bodyDiv w:val="1"/>
      <w:marLeft w:val="0"/>
      <w:marRight w:val="0"/>
      <w:marTop w:val="0"/>
      <w:marBottom w:val="0"/>
      <w:divBdr>
        <w:top w:val="none" w:sz="0" w:space="0" w:color="auto"/>
        <w:left w:val="none" w:sz="0" w:space="0" w:color="auto"/>
        <w:bottom w:val="none" w:sz="0" w:space="0" w:color="auto"/>
        <w:right w:val="none" w:sz="0" w:space="0" w:color="auto"/>
      </w:divBdr>
    </w:div>
    <w:div w:id="182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2E1D-BEFE-4E08-8114-149C96CE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21</Pages>
  <Words>6702</Words>
  <Characters>38203</Characters>
  <Application>Microsoft Office Word</Application>
  <DocSecurity>0</DocSecurity>
  <Lines>318</Lines>
  <Paragraphs>89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Nejib Osman</dc:creator>
  <cp:keywords/>
  <dc:description/>
  <cp:lastModifiedBy>Ateib Ali Sakine</cp:lastModifiedBy>
  <cp:revision>341</cp:revision>
  <dcterms:created xsi:type="dcterms:W3CDTF">2021-04-14T10:19:00Z</dcterms:created>
  <dcterms:modified xsi:type="dcterms:W3CDTF">2021-04-27T16:39:00Z</dcterms:modified>
</cp:coreProperties>
</file>