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3EEE4" w14:textId="77777777" w:rsidR="00641366" w:rsidRPr="00090DBA" w:rsidRDefault="00641366" w:rsidP="006A559D">
      <w:pPr>
        <w:spacing w:before="12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807652" w14:textId="77777777" w:rsidR="00641366" w:rsidRPr="00090DBA" w:rsidRDefault="00641366" w:rsidP="006A559D">
      <w:pPr>
        <w:spacing w:before="12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80B4B" w14:textId="77777777" w:rsidR="00641366" w:rsidRPr="00090DBA" w:rsidRDefault="00641366" w:rsidP="00B8136F">
      <w:pPr>
        <w:spacing w:before="120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E61E7A" w14:textId="77777777" w:rsidR="00641366" w:rsidRPr="00090DBA" w:rsidRDefault="00641366" w:rsidP="006A559D">
      <w:pPr>
        <w:spacing w:before="12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C0D2E" w14:textId="77777777" w:rsidR="00641366" w:rsidRPr="00090DBA" w:rsidRDefault="00641366" w:rsidP="006A559D">
      <w:pPr>
        <w:spacing w:before="12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76D2CC" w14:textId="77777777" w:rsidR="00CD0294" w:rsidRPr="00090DBA" w:rsidRDefault="00CD0294" w:rsidP="00CD0294">
      <w:pPr>
        <w:spacing w:before="12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sz w:val="28"/>
          <w:szCs w:val="28"/>
        </w:rPr>
        <w:t>ТЕХНИЧЕСКОЕ ЗАДАНИЕ</w:t>
      </w:r>
    </w:p>
    <w:p w14:paraId="15818DA4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167"/>
      </w:tblGrid>
      <w:tr w:rsidR="00CD0294" w:rsidRPr="00090DBA" w14:paraId="04C41443" w14:textId="77777777" w:rsidTr="0094610F">
        <w:trPr>
          <w:trHeight w:val="2159"/>
        </w:trPr>
        <w:tc>
          <w:tcPr>
            <w:tcW w:w="3823" w:type="dxa"/>
            <w:vAlign w:val="center"/>
          </w:tcPr>
          <w:p w14:paraId="26238287" w14:textId="77777777" w:rsidR="00CD0294" w:rsidRPr="00090DBA" w:rsidRDefault="00CD0294" w:rsidP="00C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должности:</w:t>
            </w:r>
          </w:p>
        </w:tc>
        <w:tc>
          <w:tcPr>
            <w:tcW w:w="6167" w:type="dxa"/>
            <w:vAlign w:val="center"/>
          </w:tcPr>
          <w:p w14:paraId="3B53467E" w14:textId="77777777" w:rsidR="00CD0294" w:rsidRPr="00090DBA" w:rsidRDefault="00CD0294" w:rsidP="0094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Национальный консультант по оценке производственных мощностей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картонажного цеха УПП №1 Общества слепых и глухих Туркменистана в г. Ашхабад </w:t>
            </w:r>
            <w:r w:rsidRPr="0009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предоставлению </w:t>
            </w:r>
            <w:r w:rsidRPr="0009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рекомендаций по закупке картон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ажного </w:t>
            </w:r>
            <w:r w:rsidRPr="0009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оборудования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этого цеха</w:t>
            </w:r>
          </w:p>
        </w:tc>
      </w:tr>
      <w:tr w:rsidR="00CD0294" w:rsidRPr="00090DBA" w14:paraId="61634B04" w14:textId="77777777" w:rsidTr="0094610F">
        <w:trPr>
          <w:trHeight w:val="1484"/>
        </w:trPr>
        <w:tc>
          <w:tcPr>
            <w:tcW w:w="3823" w:type="dxa"/>
            <w:vAlign w:val="center"/>
          </w:tcPr>
          <w:p w14:paraId="714A0290" w14:textId="77777777" w:rsidR="00CD0294" w:rsidRPr="00090DBA" w:rsidRDefault="00CD0294" w:rsidP="00C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F513F4E" w14:textId="77777777" w:rsidR="00CD0294" w:rsidRPr="00090DBA" w:rsidRDefault="00CD0294" w:rsidP="00C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проекта:</w:t>
            </w:r>
          </w:p>
        </w:tc>
        <w:tc>
          <w:tcPr>
            <w:tcW w:w="6167" w:type="dxa"/>
            <w:vAlign w:val="center"/>
          </w:tcPr>
          <w:p w14:paraId="4A48AEB6" w14:textId="68518AB3" w:rsidR="00CD0294" w:rsidRPr="00090DBA" w:rsidRDefault="00CD0294" w:rsidP="0094610F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Доступная работа для лиц с инвалидностью в Туркменистане: преобразование социальных предприятий для возможности получения образования и достойной работы</w:t>
            </w:r>
          </w:p>
        </w:tc>
      </w:tr>
      <w:tr w:rsidR="00CD0294" w:rsidRPr="00090DBA" w14:paraId="50A64C7B" w14:textId="77777777" w:rsidTr="0094610F">
        <w:tc>
          <w:tcPr>
            <w:tcW w:w="3823" w:type="dxa"/>
            <w:vAlign w:val="center"/>
          </w:tcPr>
          <w:p w14:paraId="29EB8734" w14:textId="77777777" w:rsidR="00CD0294" w:rsidRPr="00090DBA" w:rsidRDefault="00CD0294" w:rsidP="00C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Крайний срок подачи </w:t>
            </w:r>
          </w:p>
          <w:p w14:paraId="4BAE93C8" w14:textId="77777777" w:rsidR="00CD0294" w:rsidRPr="00090DBA" w:rsidRDefault="00CD0294" w:rsidP="00C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предложений:</w:t>
            </w:r>
          </w:p>
        </w:tc>
        <w:tc>
          <w:tcPr>
            <w:tcW w:w="6167" w:type="dxa"/>
            <w:vAlign w:val="center"/>
          </w:tcPr>
          <w:p w14:paraId="03683AD9" w14:textId="287043FE" w:rsidR="00CD0294" w:rsidRPr="00090DBA" w:rsidRDefault="008E55AC" w:rsidP="006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60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</w:t>
            </w:r>
            <w:r w:rsidR="00CD0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0294" w:rsidRPr="0009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</w:tr>
      <w:tr w:rsidR="00CD0294" w:rsidRPr="00090DBA" w14:paraId="6A28586D" w14:textId="77777777" w:rsidTr="0094610F">
        <w:tc>
          <w:tcPr>
            <w:tcW w:w="3823" w:type="dxa"/>
            <w:vAlign w:val="center"/>
          </w:tcPr>
          <w:p w14:paraId="672C36BA" w14:textId="77777777" w:rsidR="00CD0294" w:rsidRPr="00090DBA" w:rsidRDefault="00CD0294" w:rsidP="00C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контракта:</w:t>
            </w:r>
          </w:p>
        </w:tc>
        <w:tc>
          <w:tcPr>
            <w:tcW w:w="6167" w:type="dxa"/>
            <w:vAlign w:val="center"/>
          </w:tcPr>
          <w:p w14:paraId="263C7D06" w14:textId="77777777" w:rsidR="00CD0294" w:rsidRPr="0094610F" w:rsidRDefault="00CD0294" w:rsidP="0094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99527E4" w14:textId="77777777" w:rsidR="00CD0294" w:rsidRPr="00090DBA" w:rsidRDefault="00CD0294" w:rsidP="0094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EEECE1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Контракт на предоставление индивидуальных услуг</w:t>
            </w:r>
          </w:p>
        </w:tc>
      </w:tr>
      <w:tr w:rsidR="00CD0294" w:rsidRPr="00090DBA" w14:paraId="0CD036E1" w14:textId="77777777" w:rsidTr="0094610F">
        <w:tc>
          <w:tcPr>
            <w:tcW w:w="3823" w:type="dxa"/>
            <w:vAlign w:val="center"/>
          </w:tcPr>
          <w:p w14:paraId="17CC1D88" w14:textId="77777777" w:rsidR="00CD0294" w:rsidRPr="00090DBA" w:rsidRDefault="00CD0294" w:rsidP="00C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работы:</w:t>
            </w:r>
          </w:p>
        </w:tc>
        <w:tc>
          <w:tcPr>
            <w:tcW w:w="6167" w:type="dxa"/>
            <w:vAlign w:val="center"/>
          </w:tcPr>
          <w:p w14:paraId="0C959A24" w14:textId="77777777" w:rsidR="00CD0294" w:rsidRPr="00090DBA" w:rsidRDefault="00CD0294" w:rsidP="0094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246FF3D" w14:textId="77777777" w:rsidR="00CD0294" w:rsidRPr="00090DBA" w:rsidRDefault="00CD0294" w:rsidP="0094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Ашхабад</w:t>
            </w:r>
          </w:p>
          <w:p w14:paraId="58BAAEC9" w14:textId="77777777" w:rsidR="00CD0294" w:rsidRPr="00090DBA" w:rsidRDefault="00CD0294" w:rsidP="0094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294" w:rsidRPr="00090DBA" w14:paraId="14C9BD8A" w14:textId="77777777" w:rsidTr="0094610F">
        <w:tc>
          <w:tcPr>
            <w:tcW w:w="3823" w:type="dxa"/>
            <w:vAlign w:val="center"/>
          </w:tcPr>
          <w:p w14:paraId="717405E8" w14:textId="77777777" w:rsidR="00CD0294" w:rsidRPr="00090DBA" w:rsidRDefault="00CD0294" w:rsidP="00C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Ожидаемая дата начала работы:</w:t>
            </w:r>
          </w:p>
        </w:tc>
        <w:tc>
          <w:tcPr>
            <w:tcW w:w="6167" w:type="dxa"/>
            <w:vAlign w:val="center"/>
          </w:tcPr>
          <w:p w14:paraId="07DF18DE" w14:textId="77777777" w:rsidR="00CD0294" w:rsidRPr="00090DBA" w:rsidRDefault="00CD0294" w:rsidP="0094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года </w:t>
            </w:r>
          </w:p>
        </w:tc>
      </w:tr>
      <w:tr w:rsidR="00CD0294" w:rsidRPr="00090DBA" w14:paraId="75508FDF" w14:textId="77777777" w:rsidTr="0094610F">
        <w:tc>
          <w:tcPr>
            <w:tcW w:w="3823" w:type="dxa"/>
            <w:vAlign w:val="center"/>
          </w:tcPr>
          <w:p w14:paraId="3253806E" w14:textId="77777777" w:rsidR="00CD0294" w:rsidRPr="00090DBA" w:rsidRDefault="00CD0294" w:rsidP="00C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Продолжительность контракта:</w:t>
            </w:r>
          </w:p>
        </w:tc>
        <w:tc>
          <w:tcPr>
            <w:tcW w:w="6167" w:type="dxa"/>
            <w:vAlign w:val="center"/>
          </w:tcPr>
          <w:p w14:paraId="4872C085" w14:textId="581187F2" w:rsidR="00CD0294" w:rsidRPr="00090DBA" w:rsidRDefault="00C022E4" w:rsidP="0094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0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  <w:r w:rsidRPr="00C0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 (60 календарных дней)</w:t>
            </w:r>
          </w:p>
        </w:tc>
      </w:tr>
      <w:tr w:rsidR="00CD0294" w:rsidRPr="00090DBA" w14:paraId="77CE4922" w14:textId="77777777" w:rsidTr="0094610F">
        <w:tc>
          <w:tcPr>
            <w:tcW w:w="3823" w:type="dxa"/>
            <w:vAlign w:val="center"/>
          </w:tcPr>
          <w:p w14:paraId="2EAC4AE2" w14:textId="77777777" w:rsidR="00CD0294" w:rsidRPr="00090DBA" w:rsidRDefault="00CD0294" w:rsidP="00C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Ожидаемая продолжительность самого задания:</w:t>
            </w:r>
          </w:p>
        </w:tc>
        <w:tc>
          <w:tcPr>
            <w:tcW w:w="6167" w:type="dxa"/>
            <w:vAlign w:val="center"/>
          </w:tcPr>
          <w:p w14:paraId="22C19718" w14:textId="024CE593" w:rsidR="00CD0294" w:rsidRPr="002B587F" w:rsidRDefault="00CD0294" w:rsidP="0094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34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5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</w:t>
            </w:r>
          </w:p>
        </w:tc>
      </w:tr>
    </w:tbl>
    <w:p w14:paraId="3FD8A040" w14:textId="77777777" w:rsidR="00CD0294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7D1618" w14:textId="77777777" w:rsidR="004A5506" w:rsidRDefault="004A5506" w:rsidP="00CD02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8C5531D" w14:textId="77777777" w:rsidR="004A5506" w:rsidRDefault="004A5506" w:rsidP="00CD02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0FEFEC" w14:textId="77777777" w:rsidR="002B587F" w:rsidRDefault="002B587F" w:rsidP="00CD02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74216F" w14:textId="77777777" w:rsidR="002B587F" w:rsidRPr="00090DBA" w:rsidRDefault="002B587F" w:rsidP="00CD02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889DAD" w14:textId="77777777" w:rsidR="00CD0294" w:rsidRPr="00090DBA" w:rsidRDefault="00CD0294" w:rsidP="00CD0294">
      <w:pPr>
        <w:pStyle w:val="af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ВВОДНАЯ ИНФОРМАЦИЯ</w:t>
      </w:r>
    </w:p>
    <w:p w14:paraId="3815DB4D" w14:textId="07CC1C24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 с инвалидностью составляют около 15% мирового населения («Всемирный доклад об инвалидности») или более 650 миллионов человек, из которых почти 500 миллионов находятся в трудоспособном возрасте. С исторической точки зрения и даже в XXI веке лица с инвалидностью относятся к беднейшим из бедных слоев населения в мире. По данным Организации Объединенных Наций (ООН), до 82% лиц с инвалидностью, проживающих в менее развитых странах, живут ниже черты бедности. Их шансы вырваться из нищеты ограничены многими барьерами и факторами: физическими и системными барьерами; негативным отношением общества и отсутствием знаний о социальной природе инвалидности; отсутствием </w:t>
      </w:r>
      <w:proofErr w:type="gramStart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 важности всестороннего учета проблем инвалидности</w:t>
      </w:r>
      <w:proofErr w:type="gramEnd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стратегиях и программах и т.д. </w:t>
      </w:r>
      <w:r w:rsidR="00B27AB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то ставит лица с инвалидностью в ситуацию ограниченных возможностей в плане равного доступа к качественному образованию, развития навыков (включая жизненные навыки, профессиональные навыки), трудоустройства и участия в жизни общества.</w:t>
      </w:r>
    </w:p>
    <w:p w14:paraId="398AF091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3BAB1E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Туркменистане медико-социальные экспертные комиссии (МСЭК) рекомендуют подходящие профессии и рабочие места лицам с инвалидностью. Кроме того, существуют нормативно-правовые документы, регулирующие продолжительность рабочего времени, периоды отпусков и другие льготы, которые являются защитными механизмами по предотвращению причинения лицам с инвалидностью ущерба их здоровью. Однако, для поддержания полной реализации потенциала людей с инвалидностью, необходимо дальнейшее расширение их возможностей. </w:t>
      </w:r>
    </w:p>
    <w:p w14:paraId="66205977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151395" w14:textId="0C42E605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Специализированные предприятия для лиц с инвалидностью Общества слепых и глухих Туркменистана (ОСГТ), предоставляющие рабочие места лицам с инвалидностью по зрению, слуху или слабослышащим, играют важную роль в деле расширения возможностей лиц с инвалидностью. В то же время, переход от централизованной плановой экономики к рыночной экономике в Туркменистане привел к значительным изменениям на рынке труда, выявил </w:t>
      </w:r>
      <w:r w:rsidR="003376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усовершенствования</w:t>
      </w:r>
      <w:r w:rsidR="0033760C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6E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 трудовых прав лиц с инвалидностью и </w:t>
      </w:r>
      <w:r w:rsidR="00D56B9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расширении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для экономической деятельности специализированных предприятий ОСГТ, которые </w:t>
      </w:r>
      <w:r w:rsidR="00B67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раньше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получали гарантированные государственные заказы со стороны государства в плане закупок оборудования, продажи/распределения произведенной продукции через квоты.  </w:t>
      </w:r>
    </w:p>
    <w:p w14:paraId="7D9CFD70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B3A861" w14:textId="0E5C7C76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Общество слепых и глухих Туркменистана (ОСГТ) является основным партнером данного проекта с национальной стороны. Основанная в 1932 году, ОСГТ играет активную роль в защите прав лиц с инвалидностью и способствует их социальной и профессиональной реабилитации. ОСГТ является ведущей организацией в Туркменистане в плане предоставления возможности трудоустройства своим членам на своих предприятиях в разных регионах Туркменистана, которые обеспечивают занятость и ограниченную профессиональную подготовку своим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членам в двух сферах производства – швейном и картонажно-полиграфическом. Б</w:t>
      </w:r>
      <w:r w:rsidRPr="00930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льшая часть оборудования этих предприятий </w:t>
      </w:r>
      <w:r w:rsidR="005D04B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обновления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запасные части для этого оборудования уже не производятся и отсутствуют на рынке. Сами помещения </w:t>
      </w:r>
      <w:r w:rsidR="00497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требуют модернизации во многих областях (доступность, вентиляция, электрооборудование, противопожарное оборудование и т. п.), чтобы соответствовать современным стандартам работы и техники безопасности. Эти предприятия также служат членам ОСГТ в качестве базовых подразделений профессиональной подготовки. </w:t>
      </w:r>
      <w:r w:rsidR="00813F6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возможности обучения и варианты обучения ограничены, в результате чего члены ОСГТ имеют недостаточную квалификацию и ограниченные возможности трудоустройства на открытом рынке труда в других отраслях промышленности.</w:t>
      </w:r>
    </w:p>
    <w:p w14:paraId="294F50DB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DD9D33" w14:textId="08D0838B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ОСГТ </w:t>
      </w:r>
      <w:r w:rsidR="00437C6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получение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современных знаний и </w:t>
      </w:r>
      <w:r w:rsidR="00C0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организационного потенциала, чтобы оставаться ведущей национальной организацией и оказывать поддержку своим членам инклюзивным образом, а также руководить преобразованием своих предприятий в инклюзивные и конкурентоспособные учебные центры, и предприятия, которые соответствуют требованиям XXI века и открытой рыночной экономики. Чтобы удовлетворить эти потребности, ОСГТ потребуется провести всесторонний анализ рынка и разработать стратегию</w:t>
      </w:r>
      <w:r w:rsidR="00A35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текущего проекта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E49DD8" w14:textId="77777777" w:rsidR="00CD0294" w:rsidRPr="00090DBA" w:rsidRDefault="00CD0294" w:rsidP="00CD02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884C05" w14:textId="77777777" w:rsidR="00CD0294" w:rsidRPr="00090DBA" w:rsidRDefault="00CD0294" w:rsidP="00CD0294">
      <w:pPr>
        <w:pStyle w:val="af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СТРАТЕГИЯ ПРОЕКТА</w:t>
      </w:r>
    </w:p>
    <w:p w14:paraId="0AD952E2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4D4D44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направлен на повышение уровня занятости и получение доходов лицами с инвалидностью по зрению и слуху в Туркменистане посредством обучения и создания новых рабочих мест к концу 2022 года. С этой целью проект будет сотрудничать с Обществом слепых и глухих Туркменистана, которое является крупнейшим в стране поставщиком услуг по трудоустройству и профессиональной подготовке лиц с нарушениями зрения и слуха.</w:t>
      </w:r>
    </w:p>
    <w:p w14:paraId="069A0724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D3EF0C" w14:textId="630C63CC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эффективного и последовательного выполнения запланированных мероприятий, этот проект будет осуществляться в два этапа. На первом этапе (2021 год) проект расширит производственные мощности Учебно-производственного предприятия № 1 в Ашхабаде. Второй этап (2022 год) будет включать модернизацию производственных мощностей двух швейных цехов предприятий в городах </w:t>
      </w:r>
      <w:proofErr w:type="spellStart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Туркменабат</w:t>
      </w:r>
      <w:proofErr w:type="spellEnd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Мары.</w:t>
      </w:r>
    </w:p>
    <w:p w14:paraId="788681E3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31DC32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выполнения обоих этапов проекта предусматривается проведение следующего комплекса мероприятий по увеличению производственных мощностей всех трех предприятий:</w:t>
      </w:r>
    </w:p>
    <w:p w14:paraId="22D9583C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1AC91F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Компонент 1. Повышение потенциала ОСГТ для оказания помощи своим членам в получении доступа к качественному профессиональному обучению и достойной работе.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проекте будут задействованы международные и национальные эксперты для проведения анализа существующих ресурсов,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которыми обладают указанные три предприятия, а также условий и требований рынка (национального и, возможно, международного). Исходя из целей проекта и потенциала усовершенствованных производственных мощностей, эксперты разработают маркетинговые стратегии для трех предприятий ОСГТ. Эксперты также будут привлечены к разработке Стратегии развития потенциала ОСГТ и на основе этой стратегии – к разработке подробного поэтапного Плана действий по развитию потенциала ОСГТ. Эти стратегии заложат основу для Компонента 2 и Компонента 3 и помогут определить общие требования к оборудованию и Планам действий по развитию потенциала трех предприятий, сбыта их продукции, обучения и трудоустройства лиц с инвалидностью на этих трех предприятиях.</w:t>
      </w:r>
    </w:p>
    <w:p w14:paraId="29A25D24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DBEE5E" w14:textId="1401CC22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Компонент 2: Модернизация и переоснащение трех отобранных предприятий Общества слепых и глухих Туркменистана.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проекта будет разработана подробная техническая спецификация нового оборудования для трех предприятий: двух швейных цехов и одного картонажно-полиграфического цеха. В то же самое время проект окажет помощь в подготовке оценки требуемой реконструкции предприятий для обеспечения соответствия всем национальным и международным стандартам в области техники безопасности и доступности (электричество, противопожарная защита, отопление, вентиляция и т. п.). Основываясь на проведенной оценке, проект привлечет экспертов для подготовки подробного плана реконструкции. Проект задействует необходимых специалистов/компании для завершения всех ремонтных работ и установки оборудования. ПРООН совместно с ОСГТ будет осуществлять общий надзор за работами и обеспечивать их выполнение в соответствии со всеми национальными стандартами и передовой международной практикой. ПРООН вместе с ОСГТ также обеспечат получение всех необходимых сертификатов и разрешений до начала ввода в эксплуатацию отремонтированных объектов и </w:t>
      </w:r>
      <w:r w:rsidR="00930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приобретённого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оборудования. Предприятия также будут оснащены новым и современным оборудованием, разработанным специально для облегчения работы лиц с инвалидностью по зрению и слуху. Закупка картонажно-полиграфического и швейного оборудования будет осуществляться в соответствии с правилами и процедурами ПРООН. Модернизация этих трех предприятий, в том числе их обновление, техническое обеспечение, доступность и возможности обучения, повысит технику безопасности труда, качество продукции, продажи и экономическую стабильность предприятий. Это также приведет к улучшению условий труда, профессиональных навыков и будущих возможностей трудоустройства лицам с инвалидностью. </w:t>
      </w:r>
    </w:p>
    <w:p w14:paraId="14546025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F936AC" w14:textId="77777777" w:rsidR="00CD0294" w:rsidRPr="00090DBA" w:rsidRDefault="00CD0294" w:rsidP="00C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Компонент 3. План реформирования отобранных предприятий, которые станут устойчивыми образцами для профессионально-технической подготовки, оказания поддержки в вопросах занятости и перехода к трудоустройству лиц с инвалидностью на открытом рынке.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маркетинговых стратегий, разработанных в рамках Компонента 1, и оборудования, закупленного в рамках Компонента 2, в проекте будут задействованы эксперты для разработки учебных программ по приобретению профессиональных навыков и обучению лиц с инвалидностью. На этом заключительном этапе осуществления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проект установит контакты с государственными и частными партнерами, которые также играют ключевую роль в профессиональном обучении лиц с инвалидностью, или могут также использовать их в аналогичных областях. Это поможет обеспечить распространение и расширение результатов проекта за пределы трех предприятий. Проект также окажет помощь в разработке политики, процедур и необходимых протоколов для обучения, заключения контрактов с лицами с инвалидностью и удовлетворения всех их специфических потребностей. Особое внимание в рамках реализации настоящего проекта будет уделено обучению и трудоустройству женщин с инвалидностью. В рамках проекта будут также изготовлены необходимые учебные материалы для трех предприятий ОСГТ, руководства по обучению и обслуживанию оборудования. Совместно с ОСГТ и международными экспертами в рамках проекта будут организованы тренинги для первых групп сотрудников и инструкторов, которые самостоятельно продолжат проводить тренинги для будущих сотрудников. </w:t>
      </w:r>
    </w:p>
    <w:p w14:paraId="084ECD37" w14:textId="77777777" w:rsidR="000C1316" w:rsidRPr="00090DBA" w:rsidRDefault="000C1316" w:rsidP="006A55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2237060" w14:textId="095287C4" w:rsidR="00641366" w:rsidRPr="00B5700B" w:rsidRDefault="00F741D3" w:rsidP="006A559D">
      <w:pPr>
        <w:pStyle w:val="af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</w:t>
      </w:r>
      <w:r w:rsidR="001E6474" w:rsidRPr="00090DBA">
        <w:rPr>
          <w:rFonts w:ascii="Times New Roman" w:hAnsi="Times New Roman" w:cs="Times New Roman"/>
          <w:b/>
          <w:bCs/>
          <w:sz w:val="28"/>
          <w:szCs w:val="28"/>
        </w:rPr>
        <w:t>ОБЪЕМА РАБОТ</w:t>
      </w:r>
    </w:p>
    <w:p w14:paraId="3E2F130A" w14:textId="41E11FA2" w:rsidR="00B5700B" w:rsidRDefault="00B5700B" w:rsidP="00951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00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выполнения Компонента 2 Проект наймет национального консультанта, который во взаимодействии с международным консультантом проведет работ</w:t>
      </w:r>
      <w:r w:rsidR="0047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по следующим </w:t>
      </w:r>
      <w:r w:rsidR="00F949B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</w:t>
      </w:r>
      <w:r w:rsidRPr="00B570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1F68CFA" w14:textId="77777777" w:rsidR="00951796" w:rsidRDefault="00951796" w:rsidP="00951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77C25F" w14:textId="1BDD7D5B" w:rsidR="00222225" w:rsidRPr="00071D1F" w:rsidRDefault="00951796" w:rsidP="002222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22225" w:rsidRPr="00071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Переоснащение </w:t>
      </w:r>
      <w:r w:rsidRPr="00071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225" w:rsidRPr="00071D1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картонажно-полиграфического цеха ОСГТ в Ашхабаде.</w:t>
      </w:r>
    </w:p>
    <w:p w14:paraId="2A53465F" w14:textId="77777777" w:rsidR="00222225" w:rsidRDefault="00222225" w:rsidP="002222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08DCE2" w14:textId="6642E506" w:rsidR="00AF3F44" w:rsidRPr="00D52B21" w:rsidRDefault="00222225" w:rsidP="002222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52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Данная работа включает, но не ограничивается:</w:t>
      </w:r>
    </w:p>
    <w:p w14:paraId="5A8B1056" w14:textId="77777777" w:rsidR="00951796" w:rsidRDefault="00951796" w:rsidP="00951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CA9AB1" w14:textId="2C58F682" w:rsidR="00CD0294" w:rsidRPr="00222225" w:rsidRDefault="00F949BF" w:rsidP="00222225">
      <w:pPr>
        <w:pStyle w:val="af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Техническую о</w:t>
      </w:r>
      <w:r w:rsidR="00CD0294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ценку существующего оборудования на предприятии и производимой продукции</w:t>
      </w:r>
    </w:p>
    <w:p w14:paraId="489D3046" w14:textId="043C01DA" w:rsidR="00CD0294" w:rsidRPr="00222225" w:rsidRDefault="00CD0294" w:rsidP="00222225">
      <w:pPr>
        <w:pStyle w:val="af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спецификаци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оборудования и требовани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его установке</w:t>
      </w:r>
      <w:r w:rsidR="00B2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расположению в цехе</w:t>
      </w:r>
      <w:r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особенностями 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людей </w:t>
      </w:r>
      <w:r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с инвалидностью по зрению и слуху</w:t>
      </w:r>
    </w:p>
    <w:p w14:paraId="0BC4D7FB" w14:textId="160DCC70" w:rsidR="00AF3F44" w:rsidRPr="00222225" w:rsidRDefault="00CD0294" w:rsidP="00951796">
      <w:pPr>
        <w:pStyle w:val="af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существующих человеческих ресурсов для </w:t>
      </w:r>
      <w:r w:rsidR="00222225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на новом оборудовании и рекомендации по </w:t>
      </w:r>
      <w:r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оптимизации </w:t>
      </w:r>
      <w:r w:rsidR="00222225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производственного процесса на новом оборудовании с учетом </w:t>
      </w:r>
      <w:r w:rsidR="00222225" w:rsidRPr="00F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существующих </w:t>
      </w:r>
      <w:r w:rsidR="005A7B92" w:rsidRPr="00F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необходимых </w:t>
      </w:r>
      <w:r w:rsidR="00222225" w:rsidRPr="00F949B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человеческих ресурсов</w:t>
      </w:r>
      <w:r w:rsidR="00BF7BBA" w:rsidRPr="00F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F949BF" w:rsidRPr="00F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необходимости </w:t>
      </w:r>
      <w:r w:rsidR="00BF7BBA" w:rsidRPr="00F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</w:t>
      </w:r>
      <w:r w:rsidR="00F949BF" w:rsidRPr="00F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BF7BBA" w:rsidRPr="00F949BF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квалификации.</w:t>
      </w:r>
      <w:r w:rsidR="00BF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7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99E70E9" w14:textId="77777777" w:rsidR="00AF3F44" w:rsidRDefault="00AF3F44" w:rsidP="00951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8B5EB7" w14:textId="1699FA55" w:rsidR="00D05474" w:rsidRDefault="00CD0294" w:rsidP="00951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22225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оценки и предоставление рекомендаций по реконструкции картонажно-полиграфического цеха ОСГТ 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225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Ашхабаде</w:t>
      </w:r>
      <w:r w:rsidR="00222225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A7B92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уже</w:t>
      </w:r>
      <w:r w:rsidR="00B2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имеющихся наработок самого предприятия и </w:t>
      </w:r>
      <w:r w:rsidR="00222225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национальным</w:t>
      </w:r>
      <w:r w:rsidR="00B24E8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225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международным</w:t>
      </w:r>
      <w:r w:rsidR="00B24E8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225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стандартам</w:t>
      </w:r>
      <w:r w:rsidR="00B24E8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225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техники безопасности</w:t>
      </w:r>
      <w:r w:rsidR="00B2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пожарной безопасности</w:t>
      </w:r>
      <w:r w:rsidR="009B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7598B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вентиляции</w:t>
      </w:r>
      <w:r w:rsidR="00D5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кондиционирования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222225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 и размещению нового оборудования с учетом особенностей людей с инвалидностью по зрению и слуху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F8E41E" w14:textId="77777777" w:rsidR="00222225" w:rsidRDefault="00222225" w:rsidP="00951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8A1B64" w14:textId="77777777" w:rsidR="00222225" w:rsidRPr="00D52B21" w:rsidRDefault="00222225" w:rsidP="002222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52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Данная работа включает, но не ограничивается:</w:t>
      </w:r>
    </w:p>
    <w:p w14:paraId="579D6E34" w14:textId="77777777" w:rsidR="004758F9" w:rsidRDefault="004758F9" w:rsidP="00951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9155C4" w14:textId="5E0301CD" w:rsidR="00B72A98" w:rsidRPr="00222225" w:rsidRDefault="00F949BF" w:rsidP="00222225">
      <w:pPr>
        <w:pStyle w:val="af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Техническую о</w:t>
      </w:r>
      <w:r w:rsidR="00B72A98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ценку общего состояния картонажно-полиграфического цеха, 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B72A98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отопительной системы, электропроводки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72A98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вентиляци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системы</w:t>
      </w:r>
      <w:r w:rsidR="004B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</w:t>
      </w:r>
      <w:r w:rsidR="004B49DE" w:rsidRPr="00F949BF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кондиционирования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и безопасности в целом</w:t>
      </w:r>
    </w:p>
    <w:p w14:paraId="19F822B9" w14:textId="01759BB0" w:rsidR="00562AB9" w:rsidRPr="00222225" w:rsidRDefault="00CD0294" w:rsidP="00222225">
      <w:pPr>
        <w:pStyle w:val="af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екомендации и последовательный план по реконструкции цеха с учетом правильной установки отопительной системы, электропроводки, вентиляци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системы</w:t>
      </w:r>
      <w:r w:rsidR="00F949BF"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системы кондиционирования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оборудования после реконструкции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цеха</w:t>
      </w:r>
    </w:p>
    <w:p w14:paraId="4EFC874B" w14:textId="2C5F8B64" w:rsidR="00562AB9" w:rsidRPr="00222225" w:rsidRDefault="00F949BF" w:rsidP="00222225">
      <w:pPr>
        <w:pStyle w:val="af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м</w:t>
      </w:r>
      <w:r w:rsidR="00B72A98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72A98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72A98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/стандарт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B72A98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приемке 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цеха </w:t>
      </w:r>
      <w:r w:rsidR="00B72A98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реконструкции</w:t>
      </w:r>
    </w:p>
    <w:p w14:paraId="11E961AE" w14:textId="79F43F94" w:rsidR="00562AB9" w:rsidRPr="00222225" w:rsidRDefault="00CD0294" w:rsidP="00222225">
      <w:pPr>
        <w:pStyle w:val="af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всех необходимых документов в отношении государственны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стандартов и норм эксплуатации цеха, 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разрешительны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от соответствующих национальных структур</w:t>
      </w:r>
    </w:p>
    <w:p w14:paraId="162FFB91" w14:textId="6948710C" w:rsidR="00562AB9" w:rsidRPr="00222225" w:rsidRDefault="00CD0294" w:rsidP="00222225">
      <w:pPr>
        <w:pStyle w:val="af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екомендации по созданию безопасной </w:t>
      </w:r>
      <w:r w:rsid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среды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, зон безопасного перемещения, охраны здоровья и охраны окружающей среды в данном помещении и прилегающей территории</w:t>
      </w:r>
      <w:r w:rsidR="004B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49DE" w:rsidRPr="00F949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противопожарной безопасности и техники безопасности.</w:t>
      </w:r>
      <w:r w:rsidR="004B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2AB9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54D94A4" w14:textId="77777777" w:rsidR="00CD0294" w:rsidRPr="00CD0294" w:rsidRDefault="00CD0294" w:rsidP="00951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A98D57" w14:textId="78648A1D" w:rsidR="00CD0294" w:rsidRPr="003E17E0" w:rsidRDefault="00CD0294" w:rsidP="003E1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</w:t>
      </w:r>
      <w:r w:rsidR="003E17E0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спецификацию нового оборудования, </w:t>
      </w:r>
      <w:r w:rsidR="00071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</w:t>
      </w:r>
      <w:r w:rsidR="00155415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и рекомендации </w:t>
      </w:r>
      <w:r w:rsidR="003E17E0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реконструкции картонажно-полиграфического цеха </w:t>
      </w:r>
      <w:r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международному эксперту для возможных корректировок и </w:t>
      </w:r>
      <w:r w:rsidR="00155415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последующих </w:t>
      </w:r>
      <w:r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</w:t>
      </w:r>
      <w:r w:rsidRPr="003E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066DF71" w14:textId="77777777" w:rsidR="00CD0294" w:rsidRPr="003E17E0" w:rsidRDefault="00CD0294" w:rsidP="003E1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A01B8B" w14:textId="54F683C9" w:rsidR="00CD0294" w:rsidRPr="003E17E0" w:rsidRDefault="00155415" w:rsidP="003E1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3E17E0"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Доработать вышеназванные документы с учетом возможных корректировок и рекомендаций международного эксперта и п</w:t>
      </w:r>
      <w:r w:rsidRP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редоставить в распоряжение ОСГТ финальную версию оценки и рекомендации по двум </w:t>
      </w:r>
      <w:r w:rsidR="009A299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 задания</w:t>
      </w:r>
      <w:r w:rsidR="00CD0294" w:rsidRPr="003E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CC1E258" w14:textId="77777777" w:rsidR="004A418B" w:rsidRDefault="004A418B" w:rsidP="00951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596EA2" w14:textId="21B3E7C2" w:rsidR="003E17E0" w:rsidRPr="00DD24D3" w:rsidRDefault="003E17E0" w:rsidP="00951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Предоставить полный </w:t>
      </w:r>
      <w:r w:rsid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описательный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проведенной работе, включая финальную версию оценки и рекомендаций по двум </w:t>
      </w:r>
      <w:r w:rsidR="009A299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77132E0" w14:textId="77777777" w:rsidR="00B5700B" w:rsidRPr="00090DBA" w:rsidRDefault="00B5700B" w:rsidP="00951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F14A8A" w14:textId="77777777" w:rsidR="00641366" w:rsidRPr="00090DBA" w:rsidRDefault="00F741D3" w:rsidP="006A559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ОЖИДАЕМЫХ РЕЗУЛЬТАТОВ</w:t>
      </w:r>
    </w:p>
    <w:p w14:paraId="03C56E9F" w14:textId="77777777" w:rsidR="00641366" w:rsidRPr="00090DBA" w:rsidRDefault="00641366" w:rsidP="006A559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2"/>
        <w:gridCol w:w="5326"/>
        <w:gridCol w:w="2672"/>
      </w:tblGrid>
      <w:tr w:rsidR="0084186C" w:rsidRPr="00CD1A36" w14:paraId="50B72ADC" w14:textId="77777777" w:rsidTr="007C632B">
        <w:tc>
          <w:tcPr>
            <w:tcW w:w="1982" w:type="dxa"/>
          </w:tcPr>
          <w:p w14:paraId="48317F1C" w14:textId="77777777" w:rsidR="0084186C" w:rsidRPr="00CD1A36" w:rsidRDefault="0084186C" w:rsidP="006A559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1A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Результат </w:t>
            </w:r>
          </w:p>
        </w:tc>
        <w:tc>
          <w:tcPr>
            <w:tcW w:w="5326" w:type="dxa"/>
          </w:tcPr>
          <w:p w14:paraId="2DE63B9A" w14:textId="77777777" w:rsidR="0084186C" w:rsidRPr="00CD1A36" w:rsidRDefault="0084186C" w:rsidP="006A559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1A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Описание результата </w:t>
            </w:r>
          </w:p>
        </w:tc>
        <w:tc>
          <w:tcPr>
            <w:tcW w:w="2672" w:type="dxa"/>
          </w:tcPr>
          <w:p w14:paraId="74894208" w14:textId="77777777" w:rsidR="0084186C" w:rsidRPr="00CD1A36" w:rsidRDefault="0084186C" w:rsidP="006A559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1A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Временные рамки</w:t>
            </w:r>
          </w:p>
        </w:tc>
      </w:tr>
      <w:tr w:rsidR="007C632B" w:rsidRPr="00CD1A36" w14:paraId="4017F67B" w14:textId="77777777" w:rsidTr="007C632B">
        <w:tc>
          <w:tcPr>
            <w:tcW w:w="1982" w:type="dxa"/>
            <w:vAlign w:val="center"/>
          </w:tcPr>
          <w:p w14:paraId="4C2B7C42" w14:textId="6467B7D9" w:rsidR="007C632B" w:rsidRPr="00CD1A36" w:rsidRDefault="007C632B" w:rsidP="00F52E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 1</w:t>
            </w:r>
          </w:p>
        </w:tc>
        <w:tc>
          <w:tcPr>
            <w:tcW w:w="5326" w:type="dxa"/>
          </w:tcPr>
          <w:p w14:paraId="3B4ADA9A" w14:textId="21354A97" w:rsidR="007C632B" w:rsidRPr="00222225" w:rsidRDefault="00222225" w:rsidP="00951796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Оценка и рекомендации по переоснащению </w:t>
            </w:r>
            <w:r w:rsidRPr="0022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картонажно-полиграфического цеха ОСГТ в Ашхабаде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проведены </w:t>
            </w:r>
          </w:p>
        </w:tc>
        <w:tc>
          <w:tcPr>
            <w:tcW w:w="2672" w:type="dxa"/>
          </w:tcPr>
          <w:p w14:paraId="41B10BA1" w14:textId="7CCFA4B7" w:rsidR="007C632B" w:rsidRPr="009A299E" w:rsidRDefault="00951796" w:rsidP="00F52E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C632B" w:rsidRPr="00CD1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рабочих дней</w:t>
            </w:r>
          </w:p>
        </w:tc>
      </w:tr>
      <w:tr w:rsidR="007C632B" w:rsidRPr="00CD1A36" w14:paraId="0225B997" w14:textId="77777777" w:rsidTr="00C00697">
        <w:tc>
          <w:tcPr>
            <w:tcW w:w="1982" w:type="dxa"/>
            <w:vAlign w:val="center"/>
          </w:tcPr>
          <w:p w14:paraId="51DA9020" w14:textId="7BE5EC7A" w:rsidR="007C632B" w:rsidRPr="009A299E" w:rsidRDefault="007C632B" w:rsidP="00F52E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1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 2</w:t>
            </w:r>
          </w:p>
        </w:tc>
        <w:tc>
          <w:tcPr>
            <w:tcW w:w="5326" w:type="dxa"/>
          </w:tcPr>
          <w:p w14:paraId="48D7F337" w14:textId="306900F3" w:rsidR="007C632B" w:rsidRPr="003E17E0" w:rsidRDefault="003E17E0" w:rsidP="005A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Оценка и рекомендаци</w:t>
            </w:r>
            <w:r w:rsidR="005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E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реконструкции картонажно-полиграфического цеха ОСГТ в Ашхабад проведены </w:t>
            </w:r>
          </w:p>
        </w:tc>
        <w:tc>
          <w:tcPr>
            <w:tcW w:w="2672" w:type="dxa"/>
          </w:tcPr>
          <w:p w14:paraId="1F9A6BC9" w14:textId="36DF9E31" w:rsidR="007C632B" w:rsidRPr="00CD1A36" w:rsidRDefault="00951796" w:rsidP="00F52E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C632B" w:rsidRPr="00CD1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рабочих дней</w:t>
            </w:r>
          </w:p>
        </w:tc>
      </w:tr>
      <w:tr w:rsidR="007C632B" w:rsidRPr="00CD1A36" w14:paraId="3959FB95" w14:textId="77777777" w:rsidTr="007C632B">
        <w:tc>
          <w:tcPr>
            <w:tcW w:w="1982" w:type="dxa"/>
          </w:tcPr>
          <w:p w14:paraId="3231A488" w14:textId="724D492D" w:rsidR="007C632B" w:rsidRPr="00CD1A36" w:rsidRDefault="007C632B" w:rsidP="00F52E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 3</w:t>
            </w:r>
          </w:p>
        </w:tc>
        <w:tc>
          <w:tcPr>
            <w:tcW w:w="5326" w:type="dxa"/>
          </w:tcPr>
          <w:p w14:paraId="3581C20F" w14:textId="453E56C8" w:rsidR="007C632B" w:rsidRPr="00951796" w:rsidRDefault="009A299E" w:rsidP="009A299E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После согласования с международным экспертом, ф</w:t>
            </w:r>
            <w:r w:rsidR="003E17E0" w:rsidRPr="0095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инальная версия оценки и </w:t>
            </w:r>
            <w:r w:rsidR="003E17E0" w:rsidRPr="0095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рекомендации по двум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направлениям задания </w:t>
            </w:r>
            <w:r w:rsidR="003E17E0" w:rsidRPr="0095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предоставлена в распоряжени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3E17E0" w:rsidRPr="0095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ОСГТ</w:t>
            </w:r>
          </w:p>
        </w:tc>
        <w:tc>
          <w:tcPr>
            <w:tcW w:w="2672" w:type="dxa"/>
          </w:tcPr>
          <w:p w14:paraId="4DFE8C52" w14:textId="23DFBBE9" w:rsidR="007C632B" w:rsidRPr="00CD1A36" w:rsidRDefault="00F52EB5" w:rsidP="0095179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 рабочих дн</w:t>
            </w:r>
            <w:r w:rsidR="009517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7C632B" w:rsidRPr="00CD1A36" w14:paraId="46F979B1" w14:textId="77777777" w:rsidTr="007C632B">
        <w:tc>
          <w:tcPr>
            <w:tcW w:w="1982" w:type="dxa"/>
            <w:vAlign w:val="center"/>
          </w:tcPr>
          <w:p w14:paraId="1DF420CD" w14:textId="380CDA07" w:rsidR="007C632B" w:rsidRPr="00CD1A36" w:rsidRDefault="00F52EB5" w:rsidP="00F52EB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Результат 4</w:t>
            </w:r>
          </w:p>
        </w:tc>
        <w:tc>
          <w:tcPr>
            <w:tcW w:w="5326" w:type="dxa"/>
          </w:tcPr>
          <w:p w14:paraId="399B1B02" w14:textId="393FA087" w:rsidR="007C632B" w:rsidRPr="00951796" w:rsidRDefault="00951796" w:rsidP="009A299E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95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олный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описательный</w:t>
            </w:r>
            <w:r w:rsidRPr="0095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отчет о проведенной работе, включая финальную версию оценки и рекомендаций по двум </w:t>
            </w:r>
            <w:r w:rsidR="009A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направления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</w:t>
            </w:r>
            <w:r w:rsidR="009A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 ОСГТ и ПРООН в Туркменистане</w:t>
            </w:r>
          </w:p>
        </w:tc>
        <w:tc>
          <w:tcPr>
            <w:tcW w:w="2672" w:type="dxa"/>
          </w:tcPr>
          <w:p w14:paraId="0E6800F5" w14:textId="552741D7" w:rsidR="007C632B" w:rsidRPr="00CD1A36" w:rsidRDefault="00951796" w:rsidP="0095179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52EB5" w:rsidRPr="00CD1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</w:tbl>
    <w:p w14:paraId="0916FCA6" w14:textId="77777777" w:rsidR="0084186C" w:rsidRPr="00090DBA" w:rsidRDefault="0084186C" w:rsidP="006A559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E71C2F" w14:textId="77777777" w:rsidR="00822E6F" w:rsidRPr="00090DBA" w:rsidRDefault="00AF344E" w:rsidP="006A559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РАБОТЫ</w:t>
      </w:r>
    </w:p>
    <w:p w14:paraId="2A31138A" w14:textId="2400E0DC" w:rsidR="00822E6F" w:rsidRPr="00090DBA" w:rsidRDefault="00822E6F" w:rsidP="006A559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консультант будет работать под непосредственным руководством Национального координатора проекта со стороны ОСГТ</w:t>
      </w:r>
      <w:r w:rsidR="009A2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166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со стороны ПРООН. Национальному консультанту будет оказываться всесторонняя поддержка со стороны ОСГТ в предоставлении доступа к необходимой документации</w:t>
      </w:r>
      <w:r w:rsidR="001F6A5F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организации консультаций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A5F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руководством ОСГТ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A299E" w:rsidRPr="0022222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картонажно-полиграфического цеха ОСГТ в Ашхабаде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7C74E27" w14:textId="77777777" w:rsidR="00641366" w:rsidRPr="00090DBA" w:rsidRDefault="00F741D3" w:rsidP="006A559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</w:t>
      </w:r>
      <w:r w:rsidR="00BD0D32"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УСЛОВИЯ ОПЛАТЫ </w:t>
      </w:r>
    </w:p>
    <w:p w14:paraId="740E10C5" w14:textId="03B8572F" w:rsidR="00641366" w:rsidRPr="00090DBA" w:rsidRDefault="00BD0D32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национальным </w:t>
      </w:r>
      <w:r w:rsidR="00F3057E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консультантом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заключен </w:t>
      </w:r>
      <w:r w:rsidR="003C33B6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Контракт на предоставление индивидуальных услуг </w:t>
      </w:r>
      <w:r w:rsidR="00C02C26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общей сложности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A299E" w:rsidRPr="009A29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рабочих дн</w:t>
      </w:r>
      <w:r w:rsidR="00951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единовременной оплатой </w:t>
      </w:r>
      <w:r w:rsidR="00A000C7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000C7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завершению Результатов 1-</w:t>
      </w:r>
      <w:r w:rsidR="0095179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000C7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57E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одобрения </w:t>
      </w:r>
      <w:r w:rsidR="009A299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A299E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ациональным координатором проекта со стороны ОСГТ и </w:t>
      </w:r>
      <w:r w:rsidR="009A2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9A299E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со стороны ПРООН</w:t>
      </w:r>
      <w:r w:rsidR="009A2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7C0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финального описательного отчета в соответствии с Результатом 4 </w:t>
      </w:r>
    </w:p>
    <w:p w14:paraId="5AA65744" w14:textId="77777777" w:rsidR="00A000C7" w:rsidRPr="00090DBA" w:rsidRDefault="00A000C7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6EB5BA" w14:textId="77777777" w:rsidR="00641366" w:rsidRPr="00090DBA" w:rsidRDefault="001557BB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возможные з</w:t>
      </w:r>
      <w:r w:rsidR="00F741D3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атраты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национального </w:t>
      </w:r>
      <w:r w:rsidR="00A000C7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консультанта</w:t>
      </w:r>
      <w:r w:rsidR="00F238F9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включая </w:t>
      </w:r>
      <w:r w:rsidR="00F3057E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гонорар </w:t>
      </w:r>
      <w:r w:rsidR="00F741D3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предоставленные услуги должны быть </w:t>
      </w:r>
      <w:r w:rsidR="00F238F9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включены </w:t>
      </w:r>
      <w:r w:rsidR="00A000C7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в финансово</w:t>
      </w:r>
      <w:r w:rsidR="00F238F9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000C7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F238F9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3E7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F741D3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7343E7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741D3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41D3"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Письмо заявителя к ПРООН</w:t>
      </w:r>
      <w:r w:rsidR="00F741D3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741D3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Offeror’s</w:t>
      </w:r>
      <w:proofErr w:type="spellEnd"/>
      <w:r w:rsidR="00F741D3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41D3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Letter</w:t>
      </w:r>
      <w:proofErr w:type="spellEnd"/>
      <w:r w:rsidR="00F741D3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41D3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="00F741D3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UNDP)</w:t>
      </w:r>
      <w:r w:rsidR="007343E7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43E7B3C" w14:textId="77777777" w:rsidR="00641366" w:rsidRPr="00090DBA" w:rsidRDefault="00641366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0A7E65" w14:textId="77777777" w:rsidR="00641366" w:rsidRPr="00090DBA" w:rsidRDefault="00F741D3" w:rsidP="006A559D">
      <w:pPr>
        <w:pStyle w:val="af0"/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</w:t>
      </w:r>
    </w:p>
    <w:p w14:paraId="299FBB1D" w14:textId="77777777" w:rsidR="00641366" w:rsidRPr="00090DBA" w:rsidRDefault="00641366" w:rsidP="006A55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DA19E1" w14:textId="77777777" w:rsidR="00641366" w:rsidRPr="00090DBA" w:rsidRDefault="00F741D3" w:rsidP="006A55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90DBA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Pr="00090D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D1FBE7B" w14:textId="77777777" w:rsidR="00E03DC3" w:rsidRPr="00090DBA" w:rsidRDefault="00E03DC3" w:rsidP="006A55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7D94DF1" w14:textId="4A653230" w:rsidR="00D62F14" w:rsidRPr="003630D7" w:rsidRDefault="00D62F14" w:rsidP="005516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D7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951796" w:rsidRPr="003630D7">
        <w:rPr>
          <w:rFonts w:ascii="Times New Roman" w:hAnsi="Times New Roman" w:cs="Times New Roman"/>
          <w:sz w:val="28"/>
          <w:szCs w:val="28"/>
        </w:rPr>
        <w:t xml:space="preserve">экономическое </w:t>
      </w:r>
      <w:r w:rsidR="005D1A08" w:rsidRPr="003630D7">
        <w:rPr>
          <w:rFonts w:ascii="Times New Roman" w:hAnsi="Times New Roman" w:cs="Times New Roman"/>
          <w:sz w:val="28"/>
          <w:szCs w:val="28"/>
        </w:rPr>
        <w:t>и</w:t>
      </w:r>
      <w:r w:rsidR="009A299E" w:rsidRPr="003630D7">
        <w:rPr>
          <w:rFonts w:ascii="Times New Roman" w:hAnsi="Times New Roman" w:cs="Times New Roman"/>
          <w:sz w:val="28"/>
          <w:szCs w:val="28"/>
        </w:rPr>
        <w:t>ли</w:t>
      </w:r>
      <w:r w:rsidR="005D1A08" w:rsidRPr="003630D7">
        <w:rPr>
          <w:rFonts w:ascii="Times New Roman" w:hAnsi="Times New Roman" w:cs="Times New Roman"/>
          <w:sz w:val="28"/>
          <w:szCs w:val="28"/>
        </w:rPr>
        <w:t xml:space="preserve"> </w:t>
      </w:r>
      <w:r w:rsidR="009A299E" w:rsidRPr="003630D7">
        <w:rPr>
          <w:rFonts w:ascii="Times New Roman" w:hAnsi="Times New Roman" w:cs="Times New Roman"/>
          <w:sz w:val="28"/>
          <w:szCs w:val="28"/>
        </w:rPr>
        <w:t xml:space="preserve">техническое образование, предпочтительно в области </w:t>
      </w:r>
      <w:r w:rsidR="005D1A08" w:rsidRPr="003630D7">
        <w:rPr>
          <w:rFonts w:ascii="Times New Roman" w:hAnsi="Times New Roman" w:cs="Times New Roman"/>
          <w:sz w:val="28"/>
          <w:szCs w:val="28"/>
        </w:rPr>
        <w:t>строитель</w:t>
      </w:r>
      <w:r w:rsidR="009A299E" w:rsidRPr="003630D7">
        <w:rPr>
          <w:rFonts w:ascii="Times New Roman" w:hAnsi="Times New Roman" w:cs="Times New Roman"/>
          <w:sz w:val="28"/>
          <w:szCs w:val="28"/>
        </w:rPr>
        <w:t xml:space="preserve">ства или </w:t>
      </w:r>
      <w:r w:rsidR="00A342EF" w:rsidRPr="003630D7">
        <w:rPr>
          <w:rFonts w:ascii="Times New Roman" w:hAnsi="Times New Roman" w:cs="Times New Roman"/>
          <w:sz w:val="28"/>
          <w:szCs w:val="28"/>
        </w:rPr>
        <w:t>полиграфическо</w:t>
      </w:r>
      <w:r w:rsidR="009A299E" w:rsidRPr="003630D7">
        <w:rPr>
          <w:rFonts w:ascii="Times New Roman" w:hAnsi="Times New Roman" w:cs="Times New Roman"/>
          <w:sz w:val="28"/>
          <w:szCs w:val="28"/>
        </w:rPr>
        <w:t>-</w:t>
      </w:r>
      <w:r w:rsidR="00175C31" w:rsidRPr="003630D7">
        <w:rPr>
          <w:rFonts w:ascii="Times New Roman" w:hAnsi="Times New Roman" w:cs="Times New Roman"/>
          <w:sz w:val="28"/>
          <w:szCs w:val="28"/>
        </w:rPr>
        <w:t>картонажно</w:t>
      </w:r>
      <w:r w:rsidR="009A299E" w:rsidRPr="003630D7">
        <w:rPr>
          <w:rFonts w:ascii="Times New Roman" w:hAnsi="Times New Roman" w:cs="Times New Roman"/>
          <w:sz w:val="28"/>
          <w:szCs w:val="28"/>
        </w:rPr>
        <w:t xml:space="preserve">го </w:t>
      </w:r>
      <w:r w:rsidR="00A342EF" w:rsidRPr="003630D7">
        <w:rPr>
          <w:rFonts w:ascii="Times New Roman" w:hAnsi="Times New Roman" w:cs="Times New Roman"/>
          <w:sz w:val="28"/>
          <w:szCs w:val="28"/>
        </w:rPr>
        <w:t>производств</w:t>
      </w:r>
      <w:r w:rsidR="009A299E" w:rsidRPr="003630D7">
        <w:rPr>
          <w:rFonts w:ascii="Times New Roman" w:hAnsi="Times New Roman" w:cs="Times New Roman"/>
          <w:sz w:val="28"/>
          <w:szCs w:val="28"/>
        </w:rPr>
        <w:t>а</w:t>
      </w:r>
      <w:r w:rsidR="00A342EF" w:rsidRPr="003630D7">
        <w:rPr>
          <w:rFonts w:ascii="Times New Roman" w:hAnsi="Times New Roman" w:cs="Times New Roman"/>
          <w:sz w:val="28"/>
          <w:szCs w:val="28"/>
        </w:rPr>
        <w:t xml:space="preserve"> со знанием технологий </w:t>
      </w:r>
      <w:r w:rsidR="004B49DE" w:rsidRPr="003630D7">
        <w:rPr>
          <w:rFonts w:ascii="Times New Roman" w:hAnsi="Times New Roman" w:cs="Times New Roman"/>
          <w:sz w:val="28"/>
          <w:szCs w:val="28"/>
        </w:rPr>
        <w:t xml:space="preserve">и особенностей </w:t>
      </w:r>
      <w:r w:rsidR="00A342EF" w:rsidRPr="003630D7">
        <w:rPr>
          <w:rFonts w:ascii="Times New Roman" w:hAnsi="Times New Roman" w:cs="Times New Roman"/>
          <w:sz w:val="28"/>
          <w:szCs w:val="28"/>
        </w:rPr>
        <w:t>этого производства</w:t>
      </w:r>
      <w:r w:rsidR="004B49DE" w:rsidRPr="003630D7">
        <w:rPr>
          <w:rFonts w:ascii="Times New Roman" w:hAnsi="Times New Roman" w:cs="Times New Roman"/>
          <w:sz w:val="28"/>
          <w:szCs w:val="28"/>
        </w:rPr>
        <w:t>,</w:t>
      </w:r>
      <w:r w:rsidR="00A342EF" w:rsidRPr="003630D7">
        <w:rPr>
          <w:rFonts w:ascii="Times New Roman" w:hAnsi="Times New Roman" w:cs="Times New Roman"/>
          <w:sz w:val="28"/>
          <w:szCs w:val="28"/>
        </w:rPr>
        <w:t xml:space="preserve"> или </w:t>
      </w:r>
      <w:r w:rsidR="003630D7" w:rsidRPr="003630D7">
        <w:rPr>
          <w:rFonts w:ascii="Times New Roman" w:hAnsi="Times New Roman" w:cs="Times New Roman"/>
          <w:sz w:val="28"/>
          <w:szCs w:val="28"/>
        </w:rPr>
        <w:t>схожим специальностям</w:t>
      </w:r>
      <w:r w:rsidR="00A342EF" w:rsidRPr="003630D7">
        <w:rPr>
          <w:rFonts w:ascii="Times New Roman" w:hAnsi="Times New Roman" w:cs="Times New Roman"/>
          <w:sz w:val="28"/>
          <w:szCs w:val="28"/>
        </w:rPr>
        <w:t>.</w:t>
      </w:r>
    </w:p>
    <w:p w14:paraId="69B304D6" w14:textId="77777777" w:rsidR="0055162A" w:rsidRPr="00CF5E70" w:rsidRDefault="0055162A" w:rsidP="00551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8FE0F4" w14:textId="77777777" w:rsidR="00641366" w:rsidRPr="00090DBA" w:rsidRDefault="00F741D3" w:rsidP="006A559D">
      <w:pPr>
        <w:rPr>
          <w:rFonts w:ascii="Times New Roman" w:eastAsia="Times New Roman" w:hAnsi="Times New Roman" w:cs="Times New Roman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sz w:val="28"/>
          <w:szCs w:val="28"/>
        </w:rPr>
        <w:t>Опыт работы</w:t>
      </w:r>
      <w:r w:rsidR="00B8205F" w:rsidRPr="00090DBA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навыки</w:t>
      </w:r>
      <w:r w:rsidRPr="00090DB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B5D8A4" w14:textId="6D3AC45C" w:rsidR="00A96137" w:rsidRPr="00090DBA" w:rsidRDefault="00A96137" w:rsidP="006A55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 менее </w:t>
      </w:r>
      <w:r w:rsidR="009517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517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лет профессионального опыта работы </w:t>
      </w:r>
      <w:r w:rsidR="00C2117A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государственном</w:t>
      </w:r>
      <w:r w:rsidR="009517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2117A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частном секторе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области </w:t>
      </w:r>
      <w:r w:rsidR="00CF5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строительства и технологических процессов,</w:t>
      </w:r>
      <w:r w:rsidR="00363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</w:t>
      </w:r>
      <w:r w:rsidR="00CF5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выпуска картонажно-полиграфической про</w:t>
      </w:r>
      <w:r w:rsidR="00DE4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изводства и схожих производств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344E9EA" w14:textId="1E88292C" w:rsidR="00C2117A" w:rsidRPr="00090DBA" w:rsidRDefault="00C2117A" w:rsidP="006A55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</w:t>
      </w:r>
      <w:r w:rsidR="00A96137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офессиональные знания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навыки </w:t>
      </w:r>
      <w:r w:rsidR="00A96137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вопросах </w:t>
      </w:r>
      <w:r w:rsidR="002F0BF9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оценки </w:t>
      </w:r>
      <w:r w:rsidR="009517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производственных </w:t>
      </w:r>
      <w:r w:rsidR="002F0BF9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мощностей</w:t>
      </w:r>
      <w:r w:rsidR="00A96137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предприятий</w:t>
      </w:r>
      <w:r w:rsidR="002F0BF9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их модернизации. </w:t>
      </w:r>
    </w:p>
    <w:p w14:paraId="25CE83C9" w14:textId="58F171CF" w:rsidR="00C2117A" w:rsidRPr="00090DBA" w:rsidRDefault="00C2117A" w:rsidP="006A55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A96137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рофессиональные знания в области </w:t>
      </w:r>
      <w:r w:rsidR="00333D5C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строительства и реконструкции</w:t>
      </w:r>
      <w:r w:rsidR="00DE4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предприятий</w:t>
      </w:r>
    </w:p>
    <w:p w14:paraId="3AD51ADB" w14:textId="4318542A" w:rsidR="00C2117A" w:rsidRPr="00090DBA" w:rsidRDefault="00951796" w:rsidP="006A55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менее 3-х лет о</w:t>
      </w:r>
      <w:r w:rsidR="00A96137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DE4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работы на производстве </w:t>
      </w:r>
      <w:r w:rsidR="00A96137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понимание </w:t>
      </w:r>
      <w:r w:rsidR="00836F39" w:rsidRPr="00090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техники безопасности и охраны окружающей среды</w:t>
      </w:r>
    </w:p>
    <w:p w14:paraId="718F8B91" w14:textId="77777777" w:rsidR="00433115" w:rsidRPr="00090DBA" w:rsidRDefault="00433115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EA3097" w14:textId="77777777" w:rsidR="00641366" w:rsidRPr="00090DBA" w:rsidRDefault="00F741D3" w:rsidP="006A559D">
      <w:pPr>
        <w:rPr>
          <w:rFonts w:ascii="Times New Roman" w:eastAsia="Times New Roman" w:hAnsi="Times New Roman" w:cs="Times New Roman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sz w:val="28"/>
          <w:szCs w:val="28"/>
        </w:rPr>
        <w:t>Компьютерные навыки</w:t>
      </w:r>
      <w:r w:rsidRPr="00090DB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3DB0F7" w14:textId="2667CDE3" w:rsidR="00641366" w:rsidRPr="00090DBA" w:rsidRDefault="00F741D3" w:rsidP="006A55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Уверенный пользователь </w:t>
      </w:r>
      <w:r w:rsidR="009B061E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78E0D493" w14:textId="77777777" w:rsidR="00641366" w:rsidRPr="00090DBA" w:rsidRDefault="00641366" w:rsidP="006A559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48090E" w14:textId="77777777" w:rsidR="00641366" w:rsidRPr="00090DBA" w:rsidRDefault="00F741D3" w:rsidP="006A559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sz w:val="28"/>
          <w:szCs w:val="28"/>
        </w:rPr>
        <w:t>Знание языков:</w:t>
      </w:r>
    </w:p>
    <w:p w14:paraId="3A904F74" w14:textId="77777777" w:rsidR="00641366" w:rsidRPr="00090DBA" w:rsidRDefault="00F741D3" w:rsidP="006A55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Хорошее владение русским языком </w:t>
      </w:r>
    </w:p>
    <w:p w14:paraId="66A0DAE5" w14:textId="736E75E1" w:rsidR="002C0E2D" w:rsidRDefault="00F741D3" w:rsidP="00AE4E8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 владение туркменским языком</w:t>
      </w:r>
    </w:p>
    <w:p w14:paraId="6FAD3A49" w14:textId="77777777" w:rsidR="00AE4E80" w:rsidRPr="00AE4E80" w:rsidRDefault="00AE4E80" w:rsidP="00AE4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FA7C0D" w14:textId="77777777" w:rsidR="00D20F3A" w:rsidRPr="00090DBA" w:rsidRDefault="00D20F3A" w:rsidP="006A559D">
      <w:pPr>
        <w:pStyle w:val="af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ПОДАЧА ДОКУМЕНТОВ</w:t>
      </w:r>
    </w:p>
    <w:p w14:paraId="7B75D809" w14:textId="77777777" w:rsidR="00D20F3A" w:rsidRPr="00090DBA" w:rsidRDefault="00D20F3A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EDBEE3" w14:textId="77777777" w:rsidR="00077786" w:rsidRPr="00090DBA" w:rsidRDefault="00077786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Заинтересованные кандидаты, должны предоставить следующие документы (информацию), чтобы продемонстрировать свою квалификацию:</w:t>
      </w:r>
    </w:p>
    <w:p w14:paraId="25C100C7" w14:textId="77777777" w:rsidR="00D20F3A" w:rsidRPr="00090DBA" w:rsidRDefault="00D20F3A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B65701" w14:textId="0ECDC339" w:rsidR="00AC58D7" w:rsidRPr="00090DBA" w:rsidRDefault="00C66D1E" w:rsidP="006A559D">
      <w:pPr>
        <w:pStyle w:val="af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заявителя к ПРООН (</w:t>
      </w:r>
      <w:proofErr w:type="spellStart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Letter</w:t>
      </w:r>
      <w:proofErr w:type="spellEnd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Confirmation</w:t>
      </w:r>
      <w:proofErr w:type="spellEnd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Interest</w:t>
      </w:r>
      <w:proofErr w:type="spellEnd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Availability</w:t>
      </w:r>
      <w:proofErr w:type="spellEnd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подтверждающее интерес и готовность национального консультанта к заданию, включающее его финансовое предложение. Финансовое предложение должно включать в себя: оплату консультативных услуг, административные расходы (если необходимы), транспортные расходы и/или любые другие расходы, которые кандидаты считают необходимыми для выполнения задания. В финансовом предложении должна быть указана общая сумма ожидаемого гонорара в национальной валюте (туркменский манат) за весь объем работы. Образец формы можно найти по ссылке: </w:t>
      </w:r>
      <w:hyperlink r:id="rId9" w:history="1">
        <w:r w:rsidRPr="00090DB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http://www.tm.undp.org/content/turkmenistan/en/home/procurement.html</w:t>
        </w:r>
      </w:hyperlink>
    </w:p>
    <w:p w14:paraId="7847A4F0" w14:textId="6AF50B10" w:rsidR="00C66D1E" w:rsidRPr="00090DBA" w:rsidRDefault="00C66D1E" w:rsidP="006A559D">
      <w:pPr>
        <w:pStyle w:val="af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FF0000"/>
          <w:sz w:val="28"/>
          <w:szCs w:val="28"/>
        </w:rPr>
        <w:t>КАНДИДАТЫ, НЕ ПРЕДОСТАВИВШИЕ ФИНАНСОВОЕ ПРЕДЛОЖЕНИЕ БУДУТ ДИСКВАЛИФИЦИРОВАНЫ</w:t>
      </w:r>
    </w:p>
    <w:p w14:paraId="6F8F7270" w14:textId="77777777" w:rsidR="00D20F3A" w:rsidRPr="00090DBA" w:rsidRDefault="00077786" w:rsidP="006A559D">
      <w:pPr>
        <w:pStyle w:val="af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Резюме (</w:t>
      </w:r>
      <w:proofErr w:type="spellStart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curriculum</w:t>
      </w:r>
      <w:proofErr w:type="spellEnd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vitae</w:t>
      </w:r>
      <w:proofErr w:type="spellEnd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) отражающее весь предыдущий опыт работы</w:t>
      </w:r>
      <w:r w:rsidR="00D20F3A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контактные данные (адрес электронной почты и номер телефона);</w:t>
      </w:r>
    </w:p>
    <w:p w14:paraId="775254D4" w14:textId="77777777" w:rsidR="009B061E" w:rsidRDefault="00D20F3A" w:rsidP="006A559D">
      <w:pPr>
        <w:pStyle w:val="af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Краткое описание того, почему </w:t>
      </w:r>
      <w:r w:rsidR="00077786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 себя наиболее подходящим для выполнения задания</w:t>
      </w:r>
    </w:p>
    <w:p w14:paraId="6D261837" w14:textId="707B7941" w:rsidR="00641366" w:rsidRPr="00090DBA" w:rsidRDefault="009B061E" w:rsidP="006A559D">
      <w:pPr>
        <w:pStyle w:val="af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20F3A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етодологи</w:t>
      </w:r>
      <w:r w:rsidR="00077786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20F3A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/план работы,</w:t>
      </w:r>
      <w:r w:rsidR="00077786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41BB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объясняющую подход</w:t>
      </w:r>
      <w:r w:rsidR="00077786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</w:t>
      </w:r>
      <w:r w:rsidR="00D20F3A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к выполнению задания.</w:t>
      </w:r>
      <w:r w:rsidR="00C66D1E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97BD49D" w14:textId="77777777" w:rsidR="00641366" w:rsidRPr="00090DBA" w:rsidRDefault="00641366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874C2" w14:textId="77777777" w:rsidR="00641366" w:rsidRPr="00090DBA" w:rsidRDefault="00F741D3" w:rsidP="006A559D">
      <w:pPr>
        <w:pStyle w:val="af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ПРЕДЛОЖЕНИЙ</w:t>
      </w:r>
    </w:p>
    <w:p w14:paraId="49C41BA1" w14:textId="77777777" w:rsidR="00641366" w:rsidRPr="00090DBA" w:rsidRDefault="00641366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64D193" w14:textId="77777777" w:rsidR="00641366" w:rsidRPr="00090DBA" w:rsidRDefault="00F741D3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национальных инструкторов будет проводиться методом комбинированной оценки с использованием следующих критериев: </w:t>
      </w:r>
    </w:p>
    <w:p w14:paraId="4DC89EF6" w14:textId="77777777" w:rsidR="00641366" w:rsidRPr="00090DBA" w:rsidRDefault="00641366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8723CD" w14:textId="77777777" w:rsidR="00641366" w:rsidRPr="00090DBA" w:rsidRDefault="00F741D3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а) Техническая часть предложения -70%:</w:t>
      </w:r>
    </w:p>
    <w:p w14:paraId="6F75408B" w14:textId="77777777" w:rsidR="00641366" w:rsidRPr="00090DBA" w:rsidRDefault="00641366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3A02DF" w14:textId="77777777" w:rsidR="00641366" w:rsidRPr="00090DBA" w:rsidRDefault="00F741D3" w:rsidP="006A55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- </w:t>
      </w:r>
      <w:r w:rsidR="00271EFB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баллов</w:t>
      </w:r>
    </w:p>
    <w:p w14:paraId="4C8CC78E" w14:textId="77777777" w:rsidR="00641366" w:rsidRPr="00090DBA" w:rsidRDefault="00F741D3" w:rsidP="006A55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работы - </w:t>
      </w:r>
      <w:r w:rsidR="00F76B87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</w:p>
    <w:p w14:paraId="4FD0624F" w14:textId="55D29AC5" w:rsidR="00F76B87" w:rsidRPr="00090DBA" w:rsidRDefault="00F76B87" w:rsidP="006A55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Методология – </w:t>
      </w:r>
      <w:r w:rsidR="00AB4273" w:rsidRPr="00090D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</w:t>
      </w:r>
    </w:p>
    <w:p w14:paraId="0858631E" w14:textId="77777777" w:rsidR="00641366" w:rsidRPr="00090DBA" w:rsidRDefault="00F741D3" w:rsidP="006A55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языков - 1</w:t>
      </w:r>
      <w:r w:rsidR="007E378C"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</w:p>
    <w:p w14:paraId="0B885814" w14:textId="51B11118" w:rsidR="00AB4273" w:rsidRPr="00090DBA" w:rsidRDefault="00AB4273" w:rsidP="006A55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 – 25 баллов</w:t>
      </w:r>
    </w:p>
    <w:p w14:paraId="41DF3763" w14:textId="77777777" w:rsidR="00641366" w:rsidRPr="00090DBA" w:rsidRDefault="00641366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5CA15D" w14:textId="77777777" w:rsidR="00641366" w:rsidRPr="00090DBA" w:rsidRDefault="00F741D3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>б) Финансовая часть предложения - 30%</w:t>
      </w:r>
    </w:p>
    <w:p w14:paraId="1BA742CE" w14:textId="77777777" w:rsidR="00271EFB" w:rsidRPr="00090DBA" w:rsidRDefault="00271EFB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BAA064" w14:textId="77777777" w:rsidR="00641366" w:rsidRPr="00090DBA" w:rsidRDefault="00F741D3" w:rsidP="006A55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inherit" w:hAnsi="Times New Roman" w:cs="Times New Roman"/>
          <w:color w:val="000000"/>
          <w:sz w:val="28"/>
          <w:szCs w:val="28"/>
        </w:rPr>
        <w:t> </w:t>
      </w:r>
    </w:p>
    <w:p w14:paraId="64A80813" w14:textId="77777777" w:rsidR="00641366" w:rsidRPr="00090DBA" w:rsidRDefault="00F741D3" w:rsidP="006A559D">
      <w:pPr>
        <w:pStyle w:val="af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ДОПОЛНИТЕЛЬНЫЕ ТРЕБОВАНИЯ:</w:t>
      </w:r>
    </w:p>
    <w:p w14:paraId="1D4AA289" w14:textId="77777777" w:rsidR="00641366" w:rsidRPr="00090DBA" w:rsidRDefault="00641366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34A2F3F" w14:textId="77777777" w:rsidR="00641366" w:rsidRPr="00090DBA" w:rsidRDefault="00F741D3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Кандидаты в возрасте 65 лет и старше, и в случае, если требуется рабочая поездка, должны пройти полное медицинское обследование, включая рентген, 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   </w:t>
      </w:r>
    </w:p>
    <w:p w14:paraId="600356AE" w14:textId="77777777" w:rsidR="00641366" w:rsidRPr="00090DBA" w:rsidRDefault="00641366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214665" w14:textId="77777777" w:rsidR="00641366" w:rsidRPr="00090DBA" w:rsidRDefault="00F741D3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Приложение:</w:t>
      </w:r>
    </w:p>
    <w:p w14:paraId="46969431" w14:textId="77777777" w:rsidR="00641366" w:rsidRPr="00090DBA" w:rsidRDefault="00641366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BFED40" w14:textId="77777777" w:rsidR="00641366" w:rsidRPr="00090DBA" w:rsidRDefault="00F741D3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условия контракта на предоставление услуг индивидуальными подрядчиками можно найти по ссылке: </w:t>
      </w:r>
      <w:hyperlink r:id="rId10">
        <w:r w:rsidRPr="00090DB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http://www.tm.undp.org/content/turkmenistan/en/home/operations/procurement/</w:t>
        </w:r>
      </w:hyperlink>
    </w:p>
    <w:p w14:paraId="72FD74BB" w14:textId="77777777" w:rsidR="00641366" w:rsidRPr="00090DBA" w:rsidRDefault="00F741D3" w:rsidP="006A5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9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641366" w:rsidRPr="00090DBA">
      <w:headerReference w:type="first" r:id="rId11"/>
      <w:pgSz w:w="11906" w:h="16838"/>
      <w:pgMar w:top="1134" w:right="926" w:bottom="1134" w:left="99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97A9A" w14:textId="77777777" w:rsidR="000D1D44" w:rsidRDefault="000D1D44">
      <w:pPr>
        <w:spacing w:after="0" w:line="240" w:lineRule="auto"/>
      </w:pPr>
      <w:r>
        <w:separator/>
      </w:r>
    </w:p>
  </w:endnote>
  <w:endnote w:type="continuationSeparator" w:id="0">
    <w:p w14:paraId="7C48579B" w14:textId="77777777" w:rsidR="000D1D44" w:rsidRDefault="000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0D7C" w14:textId="77777777" w:rsidR="000D1D44" w:rsidRDefault="000D1D44">
      <w:pPr>
        <w:spacing w:after="0" w:line="240" w:lineRule="auto"/>
      </w:pPr>
      <w:r>
        <w:separator/>
      </w:r>
    </w:p>
  </w:footnote>
  <w:footnote w:type="continuationSeparator" w:id="0">
    <w:p w14:paraId="748DDF11" w14:textId="77777777" w:rsidR="000D1D44" w:rsidRDefault="000D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F70AC" w14:textId="77777777" w:rsidR="001B0169" w:rsidRDefault="001B016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Программа развития ООН</w:t>
    </w:r>
  </w:p>
  <w:p w14:paraId="5F7252CB" w14:textId="77777777" w:rsidR="001B0169" w:rsidRDefault="001B016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0768FBEB" wp14:editId="61950AB6">
          <wp:simplePos x="0" y="0"/>
          <wp:positionH relativeFrom="column">
            <wp:posOffset>5701665</wp:posOffset>
          </wp:positionH>
          <wp:positionV relativeFrom="paragraph">
            <wp:posOffset>221624</wp:posOffset>
          </wp:positionV>
          <wp:extent cx="641985" cy="12973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985" cy="1297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D2C"/>
    <w:multiLevelType w:val="multilevel"/>
    <w:tmpl w:val="268E7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3AB"/>
    <w:multiLevelType w:val="multilevel"/>
    <w:tmpl w:val="60004C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94C54"/>
    <w:multiLevelType w:val="hybridMultilevel"/>
    <w:tmpl w:val="04A2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7968"/>
    <w:multiLevelType w:val="hybridMultilevel"/>
    <w:tmpl w:val="C804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4CD5"/>
    <w:multiLevelType w:val="multilevel"/>
    <w:tmpl w:val="B296B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161382"/>
    <w:multiLevelType w:val="hybridMultilevel"/>
    <w:tmpl w:val="E9BC4ED8"/>
    <w:lvl w:ilvl="0" w:tplc="EB0825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65BAF"/>
    <w:multiLevelType w:val="multilevel"/>
    <w:tmpl w:val="49C474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DCE167E"/>
    <w:multiLevelType w:val="hybridMultilevel"/>
    <w:tmpl w:val="3244C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D2385"/>
    <w:multiLevelType w:val="hybridMultilevel"/>
    <w:tmpl w:val="BD8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16B79"/>
    <w:multiLevelType w:val="multilevel"/>
    <w:tmpl w:val="86D64D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D8D36A5"/>
    <w:multiLevelType w:val="hybridMultilevel"/>
    <w:tmpl w:val="21A0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A2F25"/>
    <w:multiLevelType w:val="hybridMultilevel"/>
    <w:tmpl w:val="D38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8069B"/>
    <w:multiLevelType w:val="hybridMultilevel"/>
    <w:tmpl w:val="139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06A2E"/>
    <w:multiLevelType w:val="hybridMultilevel"/>
    <w:tmpl w:val="9B580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37602"/>
    <w:multiLevelType w:val="hybridMultilevel"/>
    <w:tmpl w:val="0BDC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475D1"/>
    <w:multiLevelType w:val="multilevel"/>
    <w:tmpl w:val="3DC40B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6F47063"/>
    <w:multiLevelType w:val="hybridMultilevel"/>
    <w:tmpl w:val="1CA409B8"/>
    <w:lvl w:ilvl="0" w:tplc="152A3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922BB"/>
    <w:multiLevelType w:val="hybridMultilevel"/>
    <w:tmpl w:val="469A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93AC4"/>
    <w:multiLevelType w:val="hybridMultilevel"/>
    <w:tmpl w:val="D6FE6C2C"/>
    <w:lvl w:ilvl="0" w:tplc="A53C867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5418D"/>
    <w:multiLevelType w:val="hybridMultilevel"/>
    <w:tmpl w:val="ECA060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F797D"/>
    <w:multiLevelType w:val="multilevel"/>
    <w:tmpl w:val="FF3087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0BA5E30"/>
    <w:multiLevelType w:val="multilevel"/>
    <w:tmpl w:val="2D56C2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2AC7B38"/>
    <w:multiLevelType w:val="multilevel"/>
    <w:tmpl w:val="EA880C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4DC7B53"/>
    <w:multiLevelType w:val="hybridMultilevel"/>
    <w:tmpl w:val="90D23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013F48"/>
    <w:multiLevelType w:val="multilevel"/>
    <w:tmpl w:val="CD6641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0940E92"/>
    <w:multiLevelType w:val="hybridMultilevel"/>
    <w:tmpl w:val="4AF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47913"/>
    <w:multiLevelType w:val="hybridMultilevel"/>
    <w:tmpl w:val="3CDADD40"/>
    <w:lvl w:ilvl="0" w:tplc="103AD7B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970EA"/>
    <w:multiLevelType w:val="multilevel"/>
    <w:tmpl w:val="449CA47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5D16E89"/>
    <w:multiLevelType w:val="multilevel"/>
    <w:tmpl w:val="7DD288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C3C231D"/>
    <w:multiLevelType w:val="hybridMultilevel"/>
    <w:tmpl w:val="ACB4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A275B"/>
    <w:multiLevelType w:val="hybridMultilevel"/>
    <w:tmpl w:val="FC889BEA"/>
    <w:lvl w:ilvl="0" w:tplc="3EE4305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000C3"/>
    <w:multiLevelType w:val="hybridMultilevel"/>
    <w:tmpl w:val="E084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57B8A"/>
    <w:multiLevelType w:val="hybridMultilevel"/>
    <w:tmpl w:val="709A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46AA5"/>
    <w:multiLevelType w:val="multilevel"/>
    <w:tmpl w:val="03529B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62316D6"/>
    <w:multiLevelType w:val="hybridMultilevel"/>
    <w:tmpl w:val="89BE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85D92"/>
    <w:multiLevelType w:val="hybridMultilevel"/>
    <w:tmpl w:val="D168F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CF4ABA"/>
    <w:multiLevelType w:val="hybridMultilevel"/>
    <w:tmpl w:val="6C101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21ABE"/>
    <w:multiLevelType w:val="multilevel"/>
    <w:tmpl w:val="26FAB89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71A46D94"/>
    <w:multiLevelType w:val="multilevel"/>
    <w:tmpl w:val="45D099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66C6932"/>
    <w:multiLevelType w:val="multilevel"/>
    <w:tmpl w:val="D0D4F2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B943EB6"/>
    <w:multiLevelType w:val="multilevel"/>
    <w:tmpl w:val="F4122056"/>
    <w:lvl w:ilvl="0">
      <w:start w:val="1"/>
      <w:numFmt w:val="upperRoman"/>
      <w:lvlText w:val="%1."/>
      <w:lvlJc w:val="righ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C3F5843"/>
    <w:multiLevelType w:val="hybridMultilevel"/>
    <w:tmpl w:val="7876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7"/>
  </w:num>
  <w:num w:numId="5">
    <w:abstractNumId w:val="6"/>
  </w:num>
  <w:num w:numId="6">
    <w:abstractNumId w:val="20"/>
  </w:num>
  <w:num w:numId="7">
    <w:abstractNumId w:val="33"/>
  </w:num>
  <w:num w:numId="8">
    <w:abstractNumId w:val="39"/>
  </w:num>
  <w:num w:numId="9">
    <w:abstractNumId w:val="21"/>
  </w:num>
  <w:num w:numId="10">
    <w:abstractNumId w:val="15"/>
  </w:num>
  <w:num w:numId="11">
    <w:abstractNumId w:val="9"/>
  </w:num>
  <w:num w:numId="12">
    <w:abstractNumId w:val="28"/>
  </w:num>
  <w:num w:numId="13">
    <w:abstractNumId w:val="40"/>
  </w:num>
  <w:num w:numId="14">
    <w:abstractNumId w:val="37"/>
  </w:num>
  <w:num w:numId="15">
    <w:abstractNumId w:val="24"/>
  </w:num>
  <w:num w:numId="16">
    <w:abstractNumId w:val="38"/>
  </w:num>
  <w:num w:numId="17">
    <w:abstractNumId w:val="4"/>
  </w:num>
  <w:num w:numId="18">
    <w:abstractNumId w:val="30"/>
  </w:num>
  <w:num w:numId="19">
    <w:abstractNumId w:val="16"/>
  </w:num>
  <w:num w:numId="20">
    <w:abstractNumId w:val="7"/>
  </w:num>
  <w:num w:numId="21">
    <w:abstractNumId w:val="41"/>
  </w:num>
  <w:num w:numId="22">
    <w:abstractNumId w:val="14"/>
  </w:num>
  <w:num w:numId="23">
    <w:abstractNumId w:val="23"/>
  </w:num>
  <w:num w:numId="24">
    <w:abstractNumId w:val="10"/>
  </w:num>
  <w:num w:numId="25">
    <w:abstractNumId w:val="2"/>
  </w:num>
  <w:num w:numId="26">
    <w:abstractNumId w:val="5"/>
  </w:num>
  <w:num w:numId="27">
    <w:abstractNumId w:val="18"/>
  </w:num>
  <w:num w:numId="28">
    <w:abstractNumId w:val="26"/>
  </w:num>
  <w:num w:numId="29">
    <w:abstractNumId w:val="19"/>
  </w:num>
  <w:num w:numId="30">
    <w:abstractNumId w:val="31"/>
  </w:num>
  <w:num w:numId="31">
    <w:abstractNumId w:val="11"/>
  </w:num>
  <w:num w:numId="32">
    <w:abstractNumId w:val="32"/>
  </w:num>
  <w:num w:numId="33">
    <w:abstractNumId w:val="29"/>
  </w:num>
  <w:num w:numId="34">
    <w:abstractNumId w:val="3"/>
  </w:num>
  <w:num w:numId="35">
    <w:abstractNumId w:val="13"/>
  </w:num>
  <w:num w:numId="36">
    <w:abstractNumId w:val="35"/>
  </w:num>
  <w:num w:numId="37">
    <w:abstractNumId w:val="34"/>
  </w:num>
  <w:num w:numId="38">
    <w:abstractNumId w:val="36"/>
  </w:num>
  <w:num w:numId="39">
    <w:abstractNumId w:val="8"/>
  </w:num>
  <w:num w:numId="40">
    <w:abstractNumId w:val="25"/>
  </w:num>
  <w:num w:numId="41">
    <w:abstractNumId w:val="1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66"/>
    <w:rsid w:val="00004D70"/>
    <w:rsid w:val="00004DC1"/>
    <w:rsid w:val="00024BE9"/>
    <w:rsid w:val="0003460A"/>
    <w:rsid w:val="00052D8A"/>
    <w:rsid w:val="00060011"/>
    <w:rsid w:val="00064CEF"/>
    <w:rsid w:val="00071D1F"/>
    <w:rsid w:val="00077786"/>
    <w:rsid w:val="00090DBA"/>
    <w:rsid w:val="000A2659"/>
    <w:rsid w:val="000A44A3"/>
    <w:rsid w:val="000B405B"/>
    <w:rsid w:val="000B751C"/>
    <w:rsid w:val="000C1316"/>
    <w:rsid w:val="000D1D44"/>
    <w:rsid w:val="000E386A"/>
    <w:rsid w:val="000F040C"/>
    <w:rsid w:val="000F0C59"/>
    <w:rsid w:val="000F35F9"/>
    <w:rsid w:val="000F3BD7"/>
    <w:rsid w:val="000F3C36"/>
    <w:rsid w:val="00105FDE"/>
    <w:rsid w:val="00111509"/>
    <w:rsid w:val="00123CFD"/>
    <w:rsid w:val="00125204"/>
    <w:rsid w:val="001277C0"/>
    <w:rsid w:val="00147503"/>
    <w:rsid w:val="00150697"/>
    <w:rsid w:val="00155415"/>
    <w:rsid w:val="001557BB"/>
    <w:rsid w:val="00157720"/>
    <w:rsid w:val="00166DCD"/>
    <w:rsid w:val="00175C31"/>
    <w:rsid w:val="0018120E"/>
    <w:rsid w:val="0019104E"/>
    <w:rsid w:val="001920CD"/>
    <w:rsid w:val="00192D66"/>
    <w:rsid w:val="001936A2"/>
    <w:rsid w:val="001A39E8"/>
    <w:rsid w:val="001A6158"/>
    <w:rsid w:val="001A6330"/>
    <w:rsid w:val="001B0169"/>
    <w:rsid w:val="001B06BD"/>
    <w:rsid w:val="001C0360"/>
    <w:rsid w:val="001C0FC5"/>
    <w:rsid w:val="001E3062"/>
    <w:rsid w:val="001E340C"/>
    <w:rsid w:val="001E4C46"/>
    <w:rsid w:val="001E6007"/>
    <w:rsid w:val="001E6474"/>
    <w:rsid w:val="001E7277"/>
    <w:rsid w:val="001F6A5F"/>
    <w:rsid w:val="0020149F"/>
    <w:rsid w:val="00204FC0"/>
    <w:rsid w:val="002064CF"/>
    <w:rsid w:val="00220170"/>
    <w:rsid w:val="00222225"/>
    <w:rsid w:val="00227EEA"/>
    <w:rsid w:val="00236236"/>
    <w:rsid w:val="00236ABE"/>
    <w:rsid w:val="002401FA"/>
    <w:rsid w:val="00241DEB"/>
    <w:rsid w:val="002425BC"/>
    <w:rsid w:val="00246AD8"/>
    <w:rsid w:val="0027127C"/>
    <w:rsid w:val="00271EFB"/>
    <w:rsid w:val="002849D6"/>
    <w:rsid w:val="00297964"/>
    <w:rsid w:val="002B587F"/>
    <w:rsid w:val="002C0E2D"/>
    <w:rsid w:val="002C6605"/>
    <w:rsid w:val="002D6BF5"/>
    <w:rsid w:val="002F0A1E"/>
    <w:rsid w:val="002F0BF9"/>
    <w:rsid w:val="002F4842"/>
    <w:rsid w:val="003144F9"/>
    <w:rsid w:val="00314D1B"/>
    <w:rsid w:val="003207C3"/>
    <w:rsid w:val="00333D5C"/>
    <w:rsid w:val="0033760C"/>
    <w:rsid w:val="0034390D"/>
    <w:rsid w:val="00360011"/>
    <w:rsid w:val="003630D7"/>
    <w:rsid w:val="0036783E"/>
    <w:rsid w:val="0037598B"/>
    <w:rsid w:val="00381ED9"/>
    <w:rsid w:val="00382840"/>
    <w:rsid w:val="0038411B"/>
    <w:rsid w:val="00394BC8"/>
    <w:rsid w:val="003B18F2"/>
    <w:rsid w:val="003C33B6"/>
    <w:rsid w:val="003E17E0"/>
    <w:rsid w:val="003E3334"/>
    <w:rsid w:val="003E52A8"/>
    <w:rsid w:val="003F2DF4"/>
    <w:rsid w:val="00431201"/>
    <w:rsid w:val="00433115"/>
    <w:rsid w:val="00434416"/>
    <w:rsid w:val="004378F9"/>
    <w:rsid w:val="00437C67"/>
    <w:rsid w:val="004429DF"/>
    <w:rsid w:val="00444400"/>
    <w:rsid w:val="00451BFD"/>
    <w:rsid w:val="004532DE"/>
    <w:rsid w:val="004758F9"/>
    <w:rsid w:val="00480D47"/>
    <w:rsid w:val="00482FF8"/>
    <w:rsid w:val="00485A4E"/>
    <w:rsid w:val="004861BF"/>
    <w:rsid w:val="0049718A"/>
    <w:rsid w:val="004A418B"/>
    <w:rsid w:val="004A5506"/>
    <w:rsid w:val="004B49DE"/>
    <w:rsid w:val="004B5589"/>
    <w:rsid w:val="004B7EE2"/>
    <w:rsid w:val="004E3D77"/>
    <w:rsid w:val="004E41BB"/>
    <w:rsid w:val="00502098"/>
    <w:rsid w:val="00505DE5"/>
    <w:rsid w:val="00506159"/>
    <w:rsid w:val="00506313"/>
    <w:rsid w:val="00521B87"/>
    <w:rsid w:val="00523E69"/>
    <w:rsid w:val="00534A0C"/>
    <w:rsid w:val="0055162A"/>
    <w:rsid w:val="005527F2"/>
    <w:rsid w:val="005558FB"/>
    <w:rsid w:val="005578E2"/>
    <w:rsid w:val="00562AB9"/>
    <w:rsid w:val="00574BDA"/>
    <w:rsid w:val="0058674A"/>
    <w:rsid w:val="00586B8A"/>
    <w:rsid w:val="005A7B92"/>
    <w:rsid w:val="005B321B"/>
    <w:rsid w:val="005D04BD"/>
    <w:rsid w:val="005D0D36"/>
    <w:rsid w:val="005D1A08"/>
    <w:rsid w:val="005E2518"/>
    <w:rsid w:val="005E29A9"/>
    <w:rsid w:val="005E5E6E"/>
    <w:rsid w:val="005F2FFB"/>
    <w:rsid w:val="005F5FEF"/>
    <w:rsid w:val="00603366"/>
    <w:rsid w:val="00604079"/>
    <w:rsid w:val="00616B1F"/>
    <w:rsid w:val="006201B3"/>
    <w:rsid w:val="00641366"/>
    <w:rsid w:val="00663C8B"/>
    <w:rsid w:val="006755D8"/>
    <w:rsid w:val="0068124F"/>
    <w:rsid w:val="00692B8D"/>
    <w:rsid w:val="00696B3C"/>
    <w:rsid w:val="006A36E0"/>
    <w:rsid w:val="006A559D"/>
    <w:rsid w:val="006B167A"/>
    <w:rsid w:val="006C07AF"/>
    <w:rsid w:val="006D17ED"/>
    <w:rsid w:val="006E2220"/>
    <w:rsid w:val="006E6566"/>
    <w:rsid w:val="007040CF"/>
    <w:rsid w:val="00726FD7"/>
    <w:rsid w:val="007343E7"/>
    <w:rsid w:val="0076111C"/>
    <w:rsid w:val="0078147E"/>
    <w:rsid w:val="00782947"/>
    <w:rsid w:val="007A24D8"/>
    <w:rsid w:val="007A30DD"/>
    <w:rsid w:val="007A4FCA"/>
    <w:rsid w:val="007A79BF"/>
    <w:rsid w:val="007B1702"/>
    <w:rsid w:val="007C632B"/>
    <w:rsid w:val="007D22BC"/>
    <w:rsid w:val="007D50AF"/>
    <w:rsid w:val="007D686E"/>
    <w:rsid w:val="007E378C"/>
    <w:rsid w:val="007E64F9"/>
    <w:rsid w:val="007F1103"/>
    <w:rsid w:val="007F1752"/>
    <w:rsid w:val="007F43EA"/>
    <w:rsid w:val="00813F67"/>
    <w:rsid w:val="00821C12"/>
    <w:rsid w:val="00822E6F"/>
    <w:rsid w:val="00826B5D"/>
    <w:rsid w:val="00836F39"/>
    <w:rsid w:val="0084186C"/>
    <w:rsid w:val="00875C28"/>
    <w:rsid w:val="00892376"/>
    <w:rsid w:val="008927F9"/>
    <w:rsid w:val="008C0136"/>
    <w:rsid w:val="008D5439"/>
    <w:rsid w:val="008E55AC"/>
    <w:rsid w:val="008F0346"/>
    <w:rsid w:val="00900B4F"/>
    <w:rsid w:val="00930692"/>
    <w:rsid w:val="00932AA0"/>
    <w:rsid w:val="00933C9A"/>
    <w:rsid w:val="00934C33"/>
    <w:rsid w:val="009414F4"/>
    <w:rsid w:val="0094312B"/>
    <w:rsid w:val="00945582"/>
    <w:rsid w:val="0094610F"/>
    <w:rsid w:val="00951796"/>
    <w:rsid w:val="009567B6"/>
    <w:rsid w:val="009606A6"/>
    <w:rsid w:val="0096317F"/>
    <w:rsid w:val="00964A93"/>
    <w:rsid w:val="00965B7A"/>
    <w:rsid w:val="00980281"/>
    <w:rsid w:val="00992899"/>
    <w:rsid w:val="009963DC"/>
    <w:rsid w:val="009A299E"/>
    <w:rsid w:val="009B061E"/>
    <w:rsid w:val="009B6FC7"/>
    <w:rsid w:val="009D2E62"/>
    <w:rsid w:val="00A000C7"/>
    <w:rsid w:val="00A00A5E"/>
    <w:rsid w:val="00A21470"/>
    <w:rsid w:val="00A25724"/>
    <w:rsid w:val="00A300CA"/>
    <w:rsid w:val="00A337F4"/>
    <w:rsid w:val="00A342EF"/>
    <w:rsid w:val="00A3589D"/>
    <w:rsid w:val="00A379EC"/>
    <w:rsid w:val="00A44479"/>
    <w:rsid w:val="00A45CE6"/>
    <w:rsid w:val="00A54C8E"/>
    <w:rsid w:val="00A55634"/>
    <w:rsid w:val="00A60355"/>
    <w:rsid w:val="00A62D04"/>
    <w:rsid w:val="00A64B56"/>
    <w:rsid w:val="00A70DE2"/>
    <w:rsid w:val="00A73987"/>
    <w:rsid w:val="00A92FCA"/>
    <w:rsid w:val="00A96137"/>
    <w:rsid w:val="00AA0E87"/>
    <w:rsid w:val="00AA63A8"/>
    <w:rsid w:val="00AB29C1"/>
    <w:rsid w:val="00AB4273"/>
    <w:rsid w:val="00AC58D7"/>
    <w:rsid w:val="00AE0136"/>
    <w:rsid w:val="00AE3B45"/>
    <w:rsid w:val="00AE4E80"/>
    <w:rsid w:val="00AF344E"/>
    <w:rsid w:val="00AF3F44"/>
    <w:rsid w:val="00B03299"/>
    <w:rsid w:val="00B0543D"/>
    <w:rsid w:val="00B05DD1"/>
    <w:rsid w:val="00B0605E"/>
    <w:rsid w:val="00B16994"/>
    <w:rsid w:val="00B24E86"/>
    <w:rsid w:val="00B24E8D"/>
    <w:rsid w:val="00B262BD"/>
    <w:rsid w:val="00B27ABC"/>
    <w:rsid w:val="00B31426"/>
    <w:rsid w:val="00B4258A"/>
    <w:rsid w:val="00B46053"/>
    <w:rsid w:val="00B5700B"/>
    <w:rsid w:val="00B60F33"/>
    <w:rsid w:val="00B67589"/>
    <w:rsid w:val="00B72A98"/>
    <w:rsid w:val="00B761D3"/>
    <w:rsid w:val="00B8136F"/>
    <w:rsid w:val="00B8205F"/>
    <w:rsid w:val="00B941C9"/>
    <w:rsid w:val="00B969E6"/>
    <w:rsid w:val="00BB0EF4"/>
    <w:rsid w:val="00BB3E23"/>
    <w:rsid w:val="00BB62A4"/>
    <w:rsid w:val="00BC1ACE"/>
    <w:rsid w:val="00BD0D32"/>
    <w:rsid w:val="00BE2424"/>
    <w:rsid w:val="00BE3463"/>
    <w:rsid w:val="00BF0DC9"/>
    <w:rsid w:val="00BF5650"/>
    <w:rsid w:val="00BF7BBA"/>
    <w:rsid w:val="00C022E4"/>
    <w:rsid w:val="00C02C26"/>
    <w:rsid w:val="00C04E03"/>
    <w:rsid w:val="00C2117A"/>
    <w:rsid w:val="00C24B77"/>
    <w:rsid w:val="00C42EF5"/>
    <w:rsid w:val="00C50C0C"/>
    <w:rsid w:val="00C56932"/>
    <w:rsid w:val="00C636EA"/>
    <w:rsid w:val="00C6601A"/>
    <w:rsid w:val="00C66D1E"/>
    <w:rsid w:val="00C67C0A"/>
    <w:rsid w:val="00C7317B"/>
    <w:rsid w:val="00C81161"/>
    <w:rsid w:val="00C93443"/>
    <w:rsid w:val="00C93796"/>
    <w:rsid w:val="00CB0F4B"/>
    <w:rsid w:val="00CB3C50"/>
    <w:rsid w:val="00CC5822"/>
    <w:rsid w:val="00CD0294"/>
    <w:rsid w:val="00CD1A36"/>
    <w:rsid w:val="00CE582E"/>
    <w:rsid w:val="00CF0EF9"/>
    <w:rsid w:val="00CF39E0"/>
    <w:rsid w:val="00CF5E70"/>
    <w:rsid w:val="00D05474"/>
    <w:rsid w:val="00D055AF"/>
    <w:rsid w:val="00D12735"/>
    <w:rsid w:val="00D20F3A"/>
    <w:rsid w:val="00D22329"/>
    <w:rsid w:val="00D223DE"/>
    <w:rsid w:val="00D41CDB"/>
    <w:rsid w:val="00D42FA6"/>
    <w:rsid w:val="00D47E96"/>
    <w:rsid w:val="00D52B21"/>
    <w:rsid w:val="00D53A47"/>
    <w:rsid w:val="00D56B93"/>
    <w:rsid w:val="00D56DCB"/>
    <w:rsid w:val="00D62F14"/>
    <w:rsid w:val="00D641AB"/>
    <w:rsid w:val="00D82E80"/>
    <w:rsid w:val="00DB32AB"/>
    <w:rsid w:val="00DB6EFC"/>
    <w:rsid w:val="00DC7E83"/>
    <w:rsid w:val="00DD02C4"/>
    <w:rsid w:val="00DD24D3"/>
    <w:rsid w:val="00DD5E60"/>
    <w:rsid w:val="00DE4DDE"/>
    <w:rsid w:val="00DF4769"/>
    <w:rsid w:val="00E03DC3"/>
    <w:rsid w:val="00E21A88"/>
    <w:rsid w:val="00E411A7"/>
    <w:rsid w:val="00E509A8"/>
    <w:rsid w:val="00E5445B"/>
    <w:rsid w:val="00E6062A"/>
    <w:rsid w:val="00E831A6"/>
    <w:rsid w:val="00EA047B"/>
    <w:rsid w:val="00EC179D"/>
    <w:rsid w:val="00EC5E7F"/>
    <w:rsid w:val="00EC799A"/>
    <w:rsid w:val="00ED3188"/>
    <w:rsid w:val="00ED5D03"/>
    <w:rsid w:val="00EF25DC"/>
    <w:rsid w:val="00EF7559"/>
    <w:rsid w:val="00F07FA7"/>
    <w:rsid w:val="00F14378"/>
    <w:rsid w:val="00F201FD"/>
    <w:rsid w:val="00F238F9"/>
    <w:rsid w:val="00F3057E"/>
    <w:rsid w:val="00F34E4E"/>
    <w:rsid w:val="00F423CD"/>
    <w:rsid w:val="00F455C3"/>
    <w:rsid w:val="00F50CCC"/>
    <w:rsid w:val="00F52EB5"/>
    <w:rsid w:val="00F54E2D"/>
    <w:rsid w:val="00F56788"/>
    <w:rsid w:val="00F623F7"/>
    <w:rsid w:val="00F63AF3"/>
    <w:rsid w:val="00F67D28"/>
    <w:rsid w:val="00F730D2"/>
    <w:rsid w:val="00F741D3"/>
    <w:rsid w:val="00F76B87"/>
    <w:rsid w:val="00F84678"/>
    <w:rsid w:val="00F8533C"/>
    <w:rsid w:val="00F914E6"/>
    <w:rsid w:val="00F949BF"/>
    <w:rsid w:val="00FB122D"/>
    <w:rsid w:val="00FB131E"/>
    <w:rsid w:val="00FB6872"/>
    <w:rsid w:val="00FC75A0"/>
    <w:rsid w:val="00FD22D3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7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No Spacing"/>
    <w:link w:val="af"/>
    <w:uiPriority w:val="1"/>
    <w:qFormat/>
    <w:rsid w:val="00271EFB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f0">
    <w:name w:val="List Paragraph"/>
    <w:aliases w:val="List Paragraph1,Paragraphe de liste1,Numbered paragraph,Paragraphe de liste,List Paragraph (numbered (a)),Lapis Bulleted List,CORE-1.1.1,Paragraphe de liste PBLH,Graph &amp; Table tite"/>
    <w:basedOn w:val="a"/>
    <w:link w:val="af1"/>
    <w:uiPriority w:val="34"/>
    <w:qFormat/>
    <w:rsid w:val="00204FC0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C1ACE"/>
    <w:pPr>
      <w:widowControl w:val="0"/>
      <w:spacing w:after="60" w:line="240" w:lineRule="auto"/>
      <w:jc w:val="both"/>
    </w:pPr>
    <w:rPr>
      <w:rFonts w:ascii="Courier" w:eastAsia="SimSun" w:hAnsi="Courier" w:cs="Times New Roman"/>
      <w:szCs w:val="20"/>
      <w:lang w:val="en-US"/>
    </w:rPr>
  </w:style>
  <w:style w:type="character" w:customStyle="1" w:styleId="af3">
    <w:name w:val="Текст сноски Знак"/>
    <w:basedOn w:val="a0"/>
    <w:link w:val="af2"/>
    <w:uiPriority w:val="99"/>
    <w:rsid w:val="00BC1ACE"/>
    <w:rPr>
      <w:rFonts w:ascii="Courier" w:eastAsia="SimSun" w:hAnsi="Courier" w:cs="Times New Roman"/>
      <w:szCs w:val="20"/>
      <w:lang w:val="en-US"/>
    </w:rPr>
  </w:style>
  <w:style w:type="character" w:styleId="af4">
    <w:name w:val="footnote reference"/>
    <w:uiPriority w:val="99"/>
    <w:rsid w:val="00BC1ACE"/>
    <w:rPr>
      <w:rFonts w:ascii="Arial" w:hAnsi="Arial"/>
      <w:sz w:val="18"/>
      <w:vertAlign w:val="superscript"/>
    </w:rPr>
  </w:style>
  <w:style w:type="character" w:customStyle="1" w:styleId="af1">
    <w:name w:val="Абзац списка Знак"/>
    <w:aliases w:val="List Paragraph1 Знак,Paragraphe de liste1 Знак,Numbered paragraph Знак,Paragraphe de liste Знак,List Paragraph (numbered (a)) Знак,Lapis Bulleted List Знак,CORE-1.1.1 Знак,Paragraphe de liste PBLH Знак,Graph &amp; Table tite Знак"/>
    <w:link w:val="af0"/>
    <w:uiPriority w:val="34"/>
    <w:locked/>
    <w:rsid w:val="00BC1ACE"/>
  </w:style>
  <w:style w:type="paragraph" w:customStyle="1" w:styleId="ColorfulList-Accent11">
    <w:name w:val="Colorful List - Accent 11"/>
    <w:basedOn w:val="a"/>
    <w:uiPriority w:val="34"/>
    <w:qFormat/>
    <w:rsid w:val="0076111C"/>
    <w:pPr>
      <w:spacing w:after="60" w:line="240" w:lineRule="auto"/>
      <w:ind w:left="720"/>
      <w:jc w:val="both"/>
    </w:pPr>
    <w:rPr>
      <w:rFonts w:ascii="Arial" w:eastAsia="SimSun" w:hAnsi="Arial" w:cs="Times New Roman"/>
      <w:szCs w:val="24"/>
      <w:lang w:val="en-GB"/>
    </w:rPr>
  </w:style>
  <w:style w:type="character" w:customStyle="1" w:styleId="af">
    <w:name w:val="Без интервала Знак"/>
    <w:basedOn w:val="a0"/>
    <w:link w:val="ae"/>
    <w:uiPriority w:val="1"/>
    <w:rsid w:val="0084186C"/>
    <w:rPr>
      <w:rFonts w:asciiTheme="minorHAnsi" w:eastAsiaTheme="minorHAnsi" w:hAnsiTheme="minorHAnsi" w:cstheme="minorBidi"/>
    </w:rPr>
  </w:style>
  <w:style w:type="table" w:styleId="af5">
    <w:name w:val="Table Grid"/>
    <w:basedOn w:val="a1"/>
    <w:rsid w:val="0084186C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C66D1E"/>
  </w:style>
  <w:style w:type="paragraph" w:styleId="af6">
    <w:name w:val="header"/>
    <w:basedOn w:val="a"/>
    <w:link w:val="af7"/>
    <w:uiPriority w:val="99"/>
    <w:unhideWhenUsed/>
    <w:rsid w:val="00C66D1E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EastAsia" w:hAnsiTheme="minorHAnsi" w:cstheme="minorBidi"/>
      <w:lang w:val="en-GB"/>
    </w:rPr>
  </w:style>
  <w:style w:type="character" w:customStyle="1" w:styleId="af7">
    <w:name w:val="Верхний колонтитул Знак"/>
    <w:basedOn w:val="a0"/>
    <w:link w:val="af6"/>
    <w:uiPriority w:val="99"/>
    <w:rsid w:val="00C66D1E"/>
    <w:rPr>
      <w:rFonts w:asciiTheme="minorHAnsi" w:eastAsiaTheme="minorEastAsia" w:hAnsiTheme="minorHAnsi" w:cstheme="minorBidi"/>
      <w:lang w:val="en-GB"/>
    </w:rPr>
  </w:style>
  <w:style w:type="character" w:styleId="af8">
    <w:name w:val="Hyperlink"/>
    <w:basedOn w:val="a0"/>
    <w:uiPriority w:val="99"/>
    <w:unhideWhenUsed/>
    <w:rsid w:val="00C66D1E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C66D1E"/>
    <w:rPr>
      <w:color w:val="800080" w:themeColor="followed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03460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3460A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3460A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3460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3460A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AB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B4273"/>
    <w:rPr>
      <w:rFonts w:ascii="Tahoma" w:hAnsi="Tahoma" w:cs="Tahoma"/>
      <w:sz w:val="16"/>
      <w:szCs w:val="16"/>
    </w:rPr>
  </w:style>
  <w:style w:type="paragraph" w:styleId="aff1">
    <w:name w:val="footer"/>
    <w:basedOn w:val="a"/>
    <w:link w:val="aff2"/>
    <w:uiPriority w:val="99"/>
    <w:unhideWhenUsed/>
    <w:rsid w:val="00C022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C02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No Spacing"/>
    <w:link w:val="af"/>
    <w:uiPriority w:val="1"/>
    <w:qFormat/>
    <w:rsid w:val="00271EFB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f0">
    <w:name w:val="List Paragraph"/>
    <w:aliases w:val="List Paragraph1,Paragraphe de liste1,Numbered paragraph,Paragraphe de liste,List Paragraph (numbered (a)),Lapis Bulleted List,CORE-1.1.1,Paragraphe de liste PBLH,Graph &amp; Table tite"/>
    <w:basedOn w:val="a"/>
    <w:link w:val="af1"/>
    <w:uiPriority w:val="34"/>
    <w:qFormat/>
    <w:rsid w:val="00204FC0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C1ACE"/>
    <w:pPr>
      <w:widowControl w:val="0"/>
      <w:spacing w:after="60" w:line="240" w:lineRule="auto"/>
      <w:jc w:val="both"/>
    </w:pPr>
    <w:rPr>
      <w:rFonts w:ascii="Courier" w:eastAsia="SimSun" w:hAnsi="Courier" w:cs="Times New Roman"/>
      <w:szCs w:val="20"/>
      <w:lang w:val="en-US"/>
    </w:rPr>
  </w:style>
  <w:style w:type="character" w:customStyle="1" w:styleId="af3">
    <w:name w:val="Текст сноски Знак"/>
    <w:basedOn w:val="a0"/>
    <w:link w:val="af2"/>
    <w:uiPriority w:val="99"/>
    <w:rsid w:val="00BC1ACE"/>
    <w:rPr>
      <w:rFonts w:ascii="Courier" w:eastAsia="SimSun" w:hAnsi="Courier" w:cs="Times New Roman"/>
      <w:szCs w:val="20"/>
      <w:lang w:val="en-US"/>
    </w:rPr>
  </w:style>
  <w:style w:type="character" w:styleId="af4">
    <w:name w:val="footnote reference"/>
    <w:uiPriority w:val="99"/>
    <w:rsid w:val="00BC1ACE"/>
    <w:rPr>
      <w:rFonts w:ascii="Arial" w:hAnsi="Arial"/>
      <w:sz w:val="18"/>
      <w:vertAlign w:val="superscript"/>
    </w:rPr>
  </w:style>
  <w:style w:type="character" w:customStyle="1" w:styleId="af1">
    <w:name w:val="Абзац списка Знак"/>
    <w:aliases w:val="List Paragraph1 Знак,Paragraphe de liste1 Знак,Numbered paragraph Знак,Paragraphe de liste Знак,List Paragraph (numbered (a)) Знак,Lapis Bulleted List Знак,CORE-1.1.1 Знак,Paragraphe de liste PBLH Знак,Graph &amp; Table tite Знак"/>
    <w:link w:val="af0"/>
    <w:uiPriority w:val="34"/>
    <w:locked/>
    <w:rsid w:val="00BC1ACE"/>
  </w:style>
  <w:style w:type="paragraph" w:customStyle="1" w:styleId="ColorfulList-Accent11">
    <w:name w:val="Colorful List - Accent 11"/>
    <w:basedOn w:val="a"/>
    <w:uiPriority w:val="34"/>
    <w:qFormat/>
    <w:rsid w:val="0076111C"/>
    <w:pPr>
      <w:spacing w:after="60" w:line="240" w:lineRule="auto"/>
      <w:ind w:left="720"/>
      <w:jc w:val="both"/>
    </w:pPr>
    <w:rPr>
      <w:rFonts w:ascii="Arial" w:eastAsia="SimSun" w:hAnsi="Arial" w:cs="Times New Roman"/>
      <w:szCs w:val="24"/>
      <w:lang w:val="en-GB"/>
    </w:rPr>
  </w:style>
  <w:style w:type="character" w:customStyle="1" w:styleId="af">
    <w:name w:val="Без интервала Знак"/>
    <w:basedOn w:val="a0"/>
    <w:link w:val="ae"/>
    <w:uiPriority w:val="1"/>
    <w:rsid w:val="0084186C"/>
    <w:rPr>
      <w:rFonts w:asciiTheme="minorHAnsi" w:eastAsiaTheme="minorHAnsi" w:hAnsiTheme="minorHAnsi" w:cstheme="minorBidi"/>
    </w:rPr>
  </w:style>
  <w:style w:type="table" w:styleId="af5">
    <w:name w:val="Table Grid"/>
    <w:basedOn w:val="a1"/>
    <w:rsid w:val="0084186C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C66D1E"/>
  </w:style>
  <w:style w:type="paragraph" w:styleId="af6">
    <w:name w:val="header"/>
    <w:basedOn w:val="a"/>
    <w:link w:val="af7"/>
    <w:uiPriority w:val="99"/>
    <w:unhideWhenUsed/>
    <w:rsid w:val="00C66D1E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EastAsia" w:hAnsiTheme="minorHAnsi" w:cstheme="minorBidi"/>
      <w:lang w:val="en-GB"/>
    </w:rPr>
  </w:style>
  <w:style w:type="character" w:customStyle="1" w:styleId="af7">
    <w:name w:val="Верхний колонтитул Знак"/>
    <w:basedOn w:val="a0"/>
    <w:link w:val="af6"/>
    <w:uiPriority w:val="99"/>
    <w:rsid w:val="00C66D1E"/>
    <w:rPr>
      <w:rFonts w:asciiTheme="minorHAnsi" w:eastAsiaTheme="minorEastAsia" w:hAnsiTheme="minorHAnsi" w:cstheme="minorBidi"/>
      <w:lang w:val="en-GB"/>
    </w:rPr>
  </w:style>
  <w:style w:type="character" w:styleId="af8">
    <w:name w:val="Hyperlink"/>
    <w:basedOn w:val="a0"/>
    <w:uiPriority w:val="99"/>
    <w:unhideWhenUsed/>
    <w:rsid w:val="00C66D1E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C66D1E"/>
    <w:rPr>
      <w:color w:val="800080" w:themeColor="followed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03460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3460A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3460A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3460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3460A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AB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B4273"/>
    <w:rPr>
      <w:rFonts w:ascii="Tahoma" w:hAnsi="Tahoma" w:cs="Tahoma"/>
      <w:sz w:val="16"/>
      <w:szCs w:val="16"/>
    </w:rPr>
  </w:style>
  <w:style w:type="paragraph" w:styleId="aff1">
    <w:name w:val="footer"/>
    <w:basedOn w:val="a"/>
    <w:link w:val="aff2"/>
    <w:uiPriority w:val="99"/>
    <w:unhideWhenUsed/>
    <w:rsid w:val="00C022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C0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m.undp.org/content/turkmenistan/en/home/operations/procure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m.undp.org/content/turkmenistan/en/home/procuremen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1982-6C80-44DE-B0EF-66A028FA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2685</Words>
  <Characters>15306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4</cp:revision>
  <dcterms:created xsi:type="dcterms:W3CDTF">2021-07-02T06:16:00Z</dcterms:created>
  <dcterms:modified xsi:type="dcterms:W3CDTF">2021-07-02T06:19:00Z</dcterms:modified>
</cp:coreProperties>
</file>