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1B29E" w14:textId="77777777" w:rsidR="00763DD7" w:rsidRPr="0003495E" w:rsidRDefault="00947F09" w:rsidP="00763DD7">
      <w:pPr>
        <w:snapToGrid w:val="0"/>
        <w:spacing w:after="0" w:line="240" w:lineRule="auto"/>
        <w:jc w:val="center"/>
        <w:rPr>
          <w:rFonts w:eastAsia="Calibri" w:cstheme="minorHAnsi"/>
          <w:b/>
          <w:color w:val="000000"/>
          <w:sz w:val="24"/>
          <w:szCs w:val="24"/>
          <w:lang w:val="fr-FR"/>
        </w:rPr>
      </w:pPr>
      <w:r w:rsidRPr="0003495E">
        <w:rPr>
          <w:rFonts w:eastAsia="Calibri" w:cstheme="minorHAnsi"/>
          <w:b/>
          <w:color w:val="000000"/>
          <w:sz w:val="24"/>
          <w:szCs w:val="24"/>
          <w:lang w:val="fr-FR"/>
        </w:rPr>
        <w:t xml:space="preserve">Notice de </w:t>
      </w:r>
      <w:r w:rsidR="006F73D2" w:rsidRPr="0003495E">
        <w:rPr>
          <w:rFonts w:eastAsia="Calibri" w:cstheme="minorHAnsi"/>
          <w:b/>
          <w:color w:val="000000"/>
          <w:sz w:val="24"/>
          <w:szCs w:val="24"/>
          <w:lang w:val="fr-FR"/>
        </w:rPr>
        <w:t xml:space="preserve">consultation </w:t>
      </w:r>
      <w:r w:rsidR="00665BD3" w:rsidRPr="0003495E">
        <w:rPr>
          <w:rFonts w:eastAsia="Calibri" w:cstheme="minorHAnsi"/>
          <w:b/>
          <w:color w:val="000000"/>
          <w:sz w:val="24"/>
          <w:szCs w:val="24"/>
          <w:lang w:val="fr-FR"/>
        </w:rPr>
        <w:t>Consultant International (Expert Senior en Énergie)</w:t>
      </w:r>
    </w:p>
    <w:p w14:paraId="7B2E791B" w14:textId="687B2EDD" w:rsidR="006F73D2" w:rsidRPr="0003495E" w:rsidRDefault="00665BD3" w:rsidP="00763DD7">
      <w:pPr>
        <w:snapToGrid w:val="0"/>
        <w:spacing w:after="0" w:line="240" w:lineRule="auto"/>
        <w:jc w:val="center"/>
        <w:rPr>
          <w:rFonts w:eastAsia="Calibri" w:cstheme="minorHAnsi"/>
          <w:b/>
          <w:color w:val="000000"/>
          <w:sz w:val="24"/>
          <w:szCs w:val="24"/>
          <w:lang w:val="fr-FR"/>
        </w:rPr>
      </w:pPr>
      <w:r w:rsidRPr="0003495E">
        <w:rPr>
          <w:rFonts w:eastAsia="Calibri" w:cstheme="minorHAnsi"/>
          <w:b/>
          <w:color w:val="000000"/>
          <w:sz w:val="24"/>
          <w:szCs w:val="24"/>
          <w:lang w:val="fr-FR"/>
        </w:rPr>
        <w:t xml:space="preserve">Analyse sur les risques à l’investissement dans les </w:t>
      </w:r>
      <w:bookmarkStart w:id="0" w:name="_Hlk70416726"/>
      <w:r w:rsidRPr="0003495E">
        <w:rPr>
          <w:rFonts w:eastAsia="Calibri" w:cstheme="minorHAnsi"/>
          <w:b/>
          <w:color w:val="000000"/>
          <w:sz w:val="24"/>
          <w:szCs w:val="24"/>
          <w:lang w:val="fr-FR"/>
        </w:rPr>
        <w:t xml:space="preserve">mini-réseaux solaires photovoltaïques </w:t>
      </w:r>
      <w:bookmarkEnd w:id="0"/>
      <w:r w:rsidRPr="0003495E">
        <w:rPr>
          <w:rFonts w:eastAsia="Calibri" w:cstheme="minorHAnsi"/>
          <w:b/>
          <w:color w:val="000000"/>
          <w:sz w:val="24"/>
          <w:szCs w:val="24"/>
          <w:lang w:val="fr-FR"/>
        </w:rPr>
        <w:t>et sur la recommandation de mesures d’atténuation à ces risques – Tchad</w:t>
      </w:r>
    </w:p>
    <w:p w14:paraId="0126112C" w14:textId="40E8E80F" w:rsidR="00947F09" w:rsidRPr="0003495E" w:rsidRDefault="00947F09" w:rsidP="00947F09">
      <w:pPr>
        <w:pStyle w:val="Titre2"/>
        <w:jc w:val="center"/>
        <w:rPr>
          <w:rFonts w:asciiTheme="minorHAnsi" w:hAnsiTheme="minorHAnsi" w:cstheme="minorHAnsi"/>
          <w:b/>
          <w:bCs/>
          <w:color w:val="auto"/>
          <w:sz w:val="24"/>
          <w:szCs w:val="24"/>
          <w:lang w:val="fr-FR"/>
        </w:rPr>
      </w:pPr>
    </w:p>
    <w:p w14:paraId="2C6D7BAF" w14:textId="77777777" w:rsidR="00947F09" w:rsidRPr="0003495E" w:rsidRDefault="00947F09" w:rsidP="00947F09">
      <w:pPr>
        <w:tabs>
          <w:tab w:val="left" w:pos="1410"/>
        </w:tabs>
        <w:spacing w:before="120" w:after="120"/>
        <w:jc w:val="both"/>
        <w:outlineLvl w:val="0"/>
        <w:rPr>
          <w:rFonts w:cstheme="minorHAnsi"/>
          <w:b/>
          <w:color w:val="000000"/>
          <w:lang w:val="fr-FR"/>
        </w:rPr>
      </w:pPr>
    </w:p>
    <w:p w14:paraId="7F2EB2FA" w14:textId="326C5C1A" w:rsidR="00947F09" w:rsidRPr="0003495E" w:rsidRDefault="00BE5D3E" w:rsidP="00947F09">
      <w:pPr>
        <w:spacing w:before="120" w:after="120"/>
        <w:jc w:val="both"/>
        <w:rPr>
          <w:rFonts w:eastAsia="Times New Roman" w:cstheme="minorHAnsi"/>
          <w:b/>
          <w:color w:val="000000"/>
          <w:lang w:val="fr-FR" w:eastAsia="rw-RW"/>
        </w:rPr>
      </w:pPr>
      <w:r w:rsidRPr="00820256">
        <w:rPr>
          <w:rFonts w:eastAsia="Times New Roman" w:cstheme="minorHAnsi"/>
          <w:b/>
          <w:bCs/>
          <w:lang w:val="fr-FR"/>
        </w:rPr>
        <w:t xml:space="preserve">N° </w:t>
      </w:r>
      <w:r w:rsidR="00DF709F" w:rsidRPr="00820256">
        <w:rPr>
          <w:rFonts w:eastAsia="Times New Roman" w:cstheme="minorHAnsi"/>
          <w:b/>
          <w:bCs/>
          <w:lang w:val="fr-FR"/>
        </w:rPr>
        <w:t>24</w:t>
      </w:r>
      <w:r w:rsidRPr="00820256">
        <w:rPr>
          <w:rFonts w:eastAsia="Times New Roman" w:cstheme="minorHAnsi"/>
          <w:b/>
          <w:bCs/>
          <w:lang w:val="fr-FR"/>
        </w:rPr>
        <w:t>/TCD/0</w:t>
      </w:r>
      <w:r w:rsidR="00DF709F" w:rsidRPr="00820256">
        <w:rPr>
          <w:rFonts w:eastAsia="Times New Roman" w:cstheme="minorHAnsi"/>
          <w:b/>
          <w:bCs/>
          <w:lang w:val="fr-FR"/>
        </w:rPr>
        <w:t>9</w:t>
      </w:r>
      <w:r w:rsidRPr="00820256">
        <w:rPr>
          <w:rFonts w:eastAsia="Times New Roman" w:cstheme="minorHAnsi"/>
          <w:b/>
          <w:bCs/>
          <w:lang w:val="fr-FR"/>
        </w:rPr>
        <w:t>/2021/IC</w:t>
      </w:r>
      <w:r w:rsidRPr="00820256">
        <w:rPr>
          <w:rFonts w:eastAsia="Times New Roman" w:cstheme="minorHAnsi"/>
          <w:b/>
          <w:color w:val="000000"/>
          <w:lang w:val="fr-FR" w:eastAsia="rw-RW"/>
        </w:rPr>
        <w:t xml:space="preserve">    </w:t>
      </w:r>
      <w:r w:rsidR="00947F09" w:rsidRPr="00820256">
        <w:rPr>
          <w:rFonts w:eastAsia="Times New Roman" w:cstheme="minorHAnsi"/>
          <w:b/>
          <w:color w:val="000000"/>
          <w:lang w:val="fr-FR" w:eastAsia="rw-RW"/>
        </w:rPr>
        <w:t xml:space="preserve">    </w:t>
      </w:r>
      <w:r w:rsidR="00947F09" w:rsidRPr="00820256">
        <w:rPr>
          <w:rFonts w:eastAsia="Times New Roman" w:cstheme="minorHAnsi"/>
          <w:b/>
          <w:color w:val="000000"/>
          <w:lang w:val="fr-FR" w:eastAsia="rw-RW"/>
        </w:rPr>
        <w:tab/>
      </w:r>
      <w:r w:rsidR="00947F09" w:rsidRPr="00820256">
        <w:rPr>
          <w:rFonts w:eastAsia="Times New Roman" w:cstheme="minorHAnsi"/>
          <w:b/>
          <w:color w:val="000000"/>
          <w:lang w:val="fr-FR" w:eastAsia="rw-RW"/>
        </w:rPr>
        <w:tab/>
      </w:r>
      <w:r w:rsidR="00947F09" w:rsidRPr="00820256">
        <w:rPr>
          <w:rFonts w:eastAsia="Times New Roman" w:cstheme="minorHAnsi"/>
          <w:b/>
          <w:color w:val="000000"/>
          <w:lang w:val="fr-FR" w:eastAsia="rw-RW"/>
        </w:rPr>
        <w:tab/>
        <w:t xml:space="preserve"> </w:t>
      </w:r>
      <w:r w:rsidR="00947F09" w:rsidRPr="00820256">
        <w:rPr>
          <w:rFonts w:eastAsia="Times New Roman" w:cstheme="minorHAnsi"/>
          <w:b/>
          <w:color w:val="000000"/>
          <w:lang w:val="fr-FR" w:eastAsia="rw-RW"/>
        </w:rPr>
        <w:tab/>
      </w:r>
      <w:r w:rsidR="00947F09" w:rsidRPr="00820256">
        <w:rPr>
          <w:rFonts w:eastAsia="Times New Roman" w:cstheme="minorHAnsi"/>
          <w:b/>
          <w:color w:val="000000"/>
          <w:lang w:val="fr-FR" w:eastAsia="rw-RW"/>
        </w:rPr>
        <w:tab/>
      </w:r>
      <w:r w:rsidR="00947F09" w:rsidRPr="00820256">
        <w:rPr>
          <w:rFonts w:eastAsia="Times New Roman" w:cstheme="minorHAnsi"/>
          <w:b/>
          <w:color w:val="000000"/>
          <w:lang w:val="fr-FR" w:eastAsia="rw-RW"/>
        </w:rPr>
        <w:tab/>
        <w:t xml:space="preserve">Date : </w:t>
      </w:r>
      <w:r w:rsidR="00A47DC5" w:rsidRPr="00820256">
        <w:rPr>
          <w:rFonts w:eastAsia="Times New Roman" w:cstheme="minorHAnsi"/>
          <w:b/>
          <w:color w:val="000000"/>
          <w:lang w:val="fr-FR" w:eastAsia="rw-RW"/>
        </w:rPr>
        <w:t>0</w:t>
      </w:r>
      <w:r w:rsidR="0087128F" w:rsidRPr="00820256">
        <w:rPr>
          <w:rFonts w:eastAsia="Times New Roman" w:cstheme="minorHAnsi"/>
          <w:b/>
          <w:color w:val="000000"/>
          <w:lang w:val="fr-FR" w:eastAsia="rw-RW"/>
        </w:rPr>
        <w:t>6</w:t>
      </w:r>
      <w:r w:rsidR="00763DD7" w:rsidRPr="00820256">
        <w:rPr>
          <w:rFonts w:eastAsia="Times New Roman" w:cstheme="minorHAnsi"/>
          <w:b/>
          <w:color w:val="000000"/>
          <w:lang w:val="fr-FR" w:eastAsia="rw-RW"/>
        </w:rPr>
        <w:t xml:space="preserve"> Septembre</w:t>
      </w:r>
      <w:r w:rsidR="00947F09" w:rsidRPr="00820256">
        <w:rPr>
          <w:rFonts w:eastAsia="Times New Roman" w:cstheme="minorHAnsi"/>
          <w:b/>
          <w:color w:val="000000"/>
          <w:lang w:val="fr-FR" w:eastAsia="rw-RW"/>
        </w:rPr>
        <w:t xml:space="preserve"> 2021</w:t>
      </w:r>
      <w:r w:rsidR="00947F09" w:rsidRPr="0003495E">
        <w:rPr>
          <w:rFonts w:eastAsia="Times New Roman" w:cstheme="minorHAnsi"/>
          <w:b/>
          <w:color w:val="000000"/>
          <w:lang w:val="fr-FR" w:eastAsia="rw-RW"/>
        </w:rPr>
        <w:t xml:space="preserve"> </w:t>
      </w:r>
    </w:p>
    <w:p w14:paraId="3D951453" w14:textId="77777777" w:rsidR="00947F09" w:rsidRPr="0003495E" w:rsidRDefault="00947F09" w:rsidP="00947F09">
      <w:pPr>
        <w:spacing w:before="120" w:after="120"/>
        <w:jc w:val="both"/>
        <w:rPr>
          <w:rFonts w:eastAsia="Times New Roman" w:cstheme="minorHAnsi"/>
          <w:b/>
          <w:color w:val="000000"/>
          <w:lang w:val="fr-FR" w:eastAsia="rw-RW"/>
        </w:rPr>
      </w:pPr>
      <w:r w:rsidRPr="0003495E">
        <w:rPr>
          <w:rFonts w:cstheme="minorHAnsi"/>
          <w:noProof/>
          <w:lang w:val="fr-FR"/>
        </w:rPr>
        <mc:AlternateContent>
          <mc:Choice Requires="wps">
            <w:drawing>
              <wp:anchor distT="4294967293" distB="4294967293" distL="114300" distR="114300" simplePos="0" relativeHeight="251660288" behindDoc="0" locked="0" layoutInCell="1" allowOverlap="1" wp14:anchorId="162CA7B6" wp14:editId="4A2AA3C5">
                <wp:simplePos x="0" y="0"/>
                <wp:positionH relativeFrom="column">
                  <wp:posOffset>-250825</wp:posOffset>
                </wp:positionH>
                <wp:positionV relativeFrom="paragraph">
                  <wp:posOffset>115569</wp:posOffset>
                </wp:positionV>
                <wp:extent cx="6638925" cy="0"/>
                <wp:effectExtent l="0" t="19050" r="28575" b="19050"/>
                <wp:wrapNone/>
                <wp:docPr id="3"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2E3289" id="_x0000_t32" coordsize="21600,21600" o:spt="32" o:oned="t" path="m,l21600,21600e" filled="f">
                <v:path arrowok="t" fillok="f" o:connecttype="none"/>
                <o:lock v:ext="edit" shapetype="t"/>
              </v:shapetype>
              <v:shape id="Connecteur droit avec flèche 2" o:spid="_x0000_s1026" type="#_x0000_t32" style="position:absolute;margin-left:-19.75pt;margin-top:9.1pt;width:522.7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" strokecolor="blue" strokeweight="4.5pt">
                <o:lock v:ext="edit" shapetype="f"/>
              </v:shape>
            </w:pict>
          </mc:Fallback>
        </mc:AlternateContent>
      </w:r>
      <w:r w:rsidRPr="0003495E">
        <w:rPr>
          <w:rFonts w:cstheme="minorHAnsi"/>
          <w:noProof/>
          <w:lang w:val="fr-FR"/>
        </w:rPr>
        <w:t>:</w:t>
      </w:r>
    </w:p>
    <w:p w14:paraId="1B397AD0" w14:textId="77777777" w:rsidR="00947F09" w:rsidRPr="0003495E" w:rsidRDefault="00947F09" w:rsidP="00947F09">
      <w:pPr>
        <w:ind w:right="419"/>
        <w:jc w:val="both"/>
        <w:rPr>
          <w:rFonts w:cstheme="minorHAnsi"/>
          <w:b/>
          <w:bCs/>
          <w:lang w:val="fr-FR"/>
        </w:rPr>
      </w:pPr>
      <w:r w:rsidRPr="0003495E">
        <w:rPr>
          <w:rFonts w:cstheme="minorHAnsi"/>
          <w:b/>
          <w:bCs/>
          <w:lang w:val="fr-FR"/>
        </w:rPr>
        <w:t>Pays :</w:t>
      </w:r>
      <w:r w:rsidRPr="0003495E">
        <w:rPr>
          <w:rFonts w:cstheme="minorHAnsi"/>
          <w:b/>
          <w:bCs/>
          <w:lang w:val="fr-FR"/>
        </w:rPr>
        <w:tab/>
      </w:r>
      <w:r w:rsidRPr="0003495E">
        <w:rPr>
          <w:rFonts w:cstheme="minorHAnsi"/>
          <w:b/>
          <w:bCs/>
          <w:lang w:val="fr-FR"/>
        </w:rPr>
        <w:tab/>
      </w:r>
      <w:r w:rsidRPr="0003495E">
        <w:rPr>
          <w:rFonts w:cstheme="minorHAnsi"/>
          <w:b/>
          <w:bCs/>
          <w:lang w:val="fr-FR"/>
        </w:rPr>
        <w:tab/>
      </w:r>
      <w:r w:rsidRPr="0003495E">
        <w:rPr>
          <w:rFonts w:cstheme="minorHAnsi"/>
          <w:b/>
          <w:bCs/>
          <w:lang w:val="fr-FR"/>
        </w:rPr>
        <w:tab/>
        <w:t>Tchad</w:t>
      </w:r>
    </w:p>
    <w:p w14:paraId="0EBE5C93" w14:textId="63201A82" w:rsidR="00511FF0" w:rsidRPr="0003495E" w:rsidRDefault="00947F09" w:rsidP="00B47555">
      <w:pPr>
        <w:snapToGrid w:val="0"/>
        <w:spacing w:after="0" w:line="240" w:lineRule="auto"/>
        <w:ind w:left="-142"/>
        <w:jc w:val="center"/>
        <w:rPr>
          <w:rFonts w:eastAsia="Calibri" w:cstheme="minorHAnsi"/>
          <w:b/>
          <w:color w:val="000000"/>
          <w:sz w:val="24"/>
          <w:szCs w:val="24"/>
          <w:lang w:val="fr-FR"/>
        </w:rPr>
      </w:pPr>
      <w:r w:rsidRPr="0003495E">
        <w:rPr>
          <w:rFonts w:cstheme="minorHAnsi"/>
          <w:b/>
          <w:lang w:val="fr-FR"/>
        </w:rPr>
        <w:tab/>
      </w:r>
    </w:p>
    <w:p w14:paraId="55297BF5" w14:textId="7051B461" w:rsidR="00511FF0" w:rsidRPr="0003495E" w:rsidRDefault="00BE1E29" w:rsidP="00FD4AE4">
      <w:pPr>
        <w:ind w:left="1560" w:hanging="1560"/>
        <w:jc w:val="both"/>
        <w:rPr>
          <w:rFonts w:cstheme="minorHAnsi"/>
          <w:lang w:val="fr-FR"/>
        </w:rPr>
      </w:pPr>
      <w:sdt>
        <w:sdtPr>
          <w:rPr>
            <w:rFonts w:cstheme="minorHAnsi"/>
            <w:bCs/>
            <w:lang w:val="fr-FR"/>
          </w:rPr>
          <w:id w:val="1370645091"/>
          <w:placeholder>
            <w:docPart w:val="FE3739E9ED044160B6CC6B9DA2E37EEE"/>
          </w:placeholder>
          <w:text/>
        </w:sdtPr>
        <w:sdtEndPr/>
        <w:sdtContent>
          <w:r w:rsidR="00B47555" w:rsidRPr="0003495E">
            <w:rPr>
              <w:rFonts w:cstheme="minorHAnsi"/>
              <w:bCs/>
              <w:lang w:val="fr-FR"/>
            </w:rPr>
            <w:t>Titre du poste</w:t>
          </w:r>
          <w:r w:rsidR="00FD4AE4" w:rsidRPr="0003495E">
            <w:rPr>
              <w:rFonts w:cstheme="minorHAnsi"/>
              <w:bCs/>
              <w:lang w:val="fr-FR"/>
            </w:rPr>
            <w:t xml:space="preserve"> </w:t>
          </w:r>
          <w:r w:rsidR="00B47555" w:rsidRPr="0003495E">
            <w:rPr>
              <w:rFonts w:cstheme="minorHAnsi"/>
              <w:bCs/>
              <w:lang w:val="fr-FR"/>
            </w:rPr>
            <w:t>: Consultation International (Expert Senior en Énergie) Analyse sur les risques à l’investissement dans les mini-réseaux solaires photovoltaïques et sur la recommandation de mesures d’atténuation à ces risques – Tchad</w:t>
          </w:r>
        </w:sdtContent>
      </w:sdt>
    </w:p>
    <w:p w14:paraId="5861E5EE" w14:textId="2AFADEE6" w:rsidR="008072DB" w:rsidRPr="0003495E" w:rsidRDefault="00947F09" w:rsidP="007C7CBF">
      <w:pPr>
        <w:tabs>
          <w:tab w:val="left" w:pos="2835"/>
        </w:tabs>
        <w:spacing w:after="120" w:line="259" w:lineRule="auto"/>
        <w:ind w:left="2694" w:hanging="2694"/>
        <w:jc w:val="both"/>
        <w:rPr>
          <w:rFonts w:cstheme="minorHAnsi"/>
          <w:lang w:val="fr-FR"/>
        </w:rPr>
      </w:pPr>
      <w:r w:rsidRPr="0003495E">
        <w:rPr>
          <w:rFonts w:cstheme="minorHAnsi"/>
          <w:b/>
          <w:lang w:val="fr-FR"/>
        </w:rPr>
        <w:t xml:space="preserve">Durée : </w:t>
      </w:r>
      <w:r w:rsidR="007C7CBF" w:rsidRPr="0003495E">
        <w:rPr>
          <w:rFonts w:cstheme="minorHAnsi"/>
          <w:b/>
          <w:lang w:val="fr-FR"/>
        </w:rPr>
        <w:tab/>
      </w:r>
      <w:r w:rsidR="00E66B54" w:rsidRPr="0003495E">
        <w:rPr>
          <w:rFonts w:cstheme="minorHAnsi"/>
          <w:lang w:val="fr-FR" w:eastAsia="en-GB"/>
        </w:rPr>
        <w:t xml:space="preserve">La </w:t>
      </w:r>
      <w:r w:rsidR="001635CD" w:rsidRPr="0003495E">
        <w:rPr>
          <w:rFonts w:cstheme="minorHAnsi"/>
          <w:lang w:val="fr-FR" w:eastAsia="en-GB"/>
        </w:rPr>
        <w:t>durée</w:t>
      </w:r>
      <w:r w:rsidR="00E66B54" w:rsidRPr="0003495E">
        <w:rPr>
          <w:rFonts w:cstheme="minorHAnsi"/>
          <w:lang w:val="fr-FR" w:eastAsia="en-GB"/>
        </w:rPr>
        <w:t xml:space="preserve"> de la mission sera de 45 (quarante-cinq) jours ouvrables (répartis sur 4 mois) y compris la </w:t>
      </w:r>
      <w:r w:rsidR="001635CD" w:rsidRPr="0003495E">
        <w:rPr>
          <w:rFonts w:cstheme="minorHAnsi"/>
          <w:lang w:val="fr-FR" w:eastAsia="en-GB"/>
        </w:rPr>
        <w:t>période</w:t>
      </w:r>
      <w:r w:rsidR="00E66B54" w:rsidRPr="0003495E">
        <w:rPr>
          <w:rFonts w:cstheme="minorHAnsi"/>
          <w:lang w:val="fr-FR" w:eastAsia="en-GB"/>
        </w:rPr>
        <w:t xml:space="preserve"> de </w:t>
      </w:r>
      <w:r w:rsidR="001635CD" w:rsidRPr="0003495E">
        <w:rPr>
          <w:rFonts w:cstheme="minorHAnsi"/>
          <w:lang w:val="fr-FR" w:eastAsia="en-GB"/>
        </w:rPr>
        <w:t>présentation</w:t>
      </w:r>
      <w:r w:rsidR="00E66B54" w:rsidRPr="0003495E">
        <w:rPr>
          <w:rFonts w:cstheme="minorHAnsi"/>
          <w:lang w:val="fr-FR" w:eastAsia="en-GB"/>
        </w:rPr>
        <w:t xml:space="preserve"> du livrable et de </w:t>
      </w:r>
      <w:r w:rsidR="001635CD" w:rsidRPr="0003495E">
        <w:rPr>
          <w:rFonts w:cstheme="minorHAnsi"/>
          <w:lang w:val="fr-FR" w:eastAsia="en-GB"/>
        </w:rPr>
        <w:t>rédaction</w:t>
      </w:r>
      <w:r w:rsidR="00E66B54" w:rsidRPr="0003495E">
        <w:rPr>
          <w:rFonts w:cstheme="minorHAnsi"/>
          <w:lang w:val="fr-FR" w:eastAsia="en-GB"/>
        </w:rPr>
        <w:t xml:space="preserve"> du rapport</w:t>
      </w:r>
      <w:r w:rsidR="008072DB" w:rsidRPr="0003495E">
        <w:rPr>
          <w:rFonts w:cstheme="minorHAnsi"/>
          <w:lang w:val="fr-FR"/>
        </w:rPr>
        <w:t xml:space="preserve">. </w:t>
      </w:r>
    </w:p>
    <w:p w14:paraId="6FE344A5" w14:textId="77777777" w:rsidR="008072DB" w:rsidRPr="0003495E" w:rsidRDefault="008072DB" w:rsidP="008072DB">
      <w:pPr>
        <w:shd w:val="clear" w:color="auto" w:fill="FFFFFF"/>
        <w:spacing w:after="0" w:line="240" w:lineRule="auto"/>
        <w:rPr>
          <w:rFonts w:cstheme="minorHAnsi"/>
          <w:lang w:val="fr-FR"/>
        </w:rPr>
      </w:pPr>
    </w:p>
    <w:p w14:paraId="7E4ED9C0" w14:textId="6C5424B0" w:rsidR="007C7CBF" w:rsidRPr="0003495E" w:rsidRDefault="00947F09" w:rsidP="007C7CBF">
      <w:pPr>
        <w:tabs>
          <w:tab w:val="left" w:pos="2835"/>
        </w:tabs>
        <w:spacing w:after="120" w:line="259" w:lineRule="auto"/>
        <w:ind w:left="2694" w:hanging="2694"/>
        <w:jc w:val="both"/>
        <w:rPr>
          <w:rFonts w:cstheme="minorHAnsi"/>
          <w:lang w:val="fr-FR"/>
        </w:rPr>
      </w:pPr>
      <w:r w:rsidRPr="0003495E">
        <w:rPr>
          <w:rFonts w:cstheme="minorHAnsi"/>
          <w:b/>
          <w:lang w:val="fr-FR"/>
        </w:rPr>
        <w:t>Lieu d’affectation :</w:t>
      </w:r>
      <w:r w:rsidRPr="0003495E">
        <w:rPr>
          <w:rFonts w:cstheme="minorHAnsi"/>
          <w:b/>
          <w:lang w:val="fr-FR"/>
        </w:rPr>
        <w:tab/>
      </w:r>
      <w:r w:rsidR="007C7CBF" w:rsidRPr="0003495E">
        <w:rPr>
          <w:rFonts w:cstheme="minorHAnsi"/>
          <w:lang w:val="fr-FR"/>
        </w:rPr>
        <w:t>Le consultant international sera basé dans son pays de résidence, mais pourra proposer une ou deux missions à N’Djamena, Tchad, au regard des limites de voyages liées au COVID-19.</w:t>
      </w:r>
    </w:p>
    <w:p w14:paraId="704C092D" w14:textId="32049569" w:rsidR="00947F09" w:rsidRPr="0003495E" w:rsidRDefault="00947F09" w:rsidP="008072DB">
      <w:pPr>
        <w:tabs>
          <w:tab w:val="left" w:pos="2835"/>
        </w:tabs>
        <w:spacing w:after="120" w:line="259" w:lineRule="auto"/>
        <w:ind w:left="2694" w:hanging="2694"/>
        <w:jc w:val="both"/>
        <w:rPr>
          <w:rFonts w:cstheme="minorHAnsi"/>
          <w:i/>
          <w:iCs/>
          <w:lang w:val="fr-FR"/>
        </w:rPr>
      </w:pPr>
      <w:r w:rsidRPr="0003495E">
        <w:rPr>
          <w:rFonts w:cstheme="minorHAnsi"/>
          <w:lang w:val="fr-FR"/>
        </w:rPr>
        <w:t xml:space="preserve"> </w:t>
      </w:r>
    </w:p>
    <w:p w14:paraId="3008FE75" w14:textId="77777777" w:rsidR="00947F09" w:rsidRPr="0003495E" w:rsidRDefault="00947F09" w:rsidP="00947F09">
      <w:pPr>
        <w:tabs>
          <w:tab w:val="left" w:pos="1134"/>
        </w:tabs>
        <w:spacing w:after="120"/>
        <w:jc w:val="both"/>
        <w:outlineLvl w:val="5"/>
        <w:rPr>
          <w:rFonts w:eastAsia="Times New Roman" w:cstheme="minorHAnsi"/>
          <w:b/>
          <w:i/>
          <w:lang w:val="fr-FR" w:eastAsia="en-GB"/>
        </w:rPr>
      </w:pPr>
      <w:r w:rsidRPr="0003495E">
        <w:rPr>
          <w:rFonts w:eastAsia="Times New Roman" w:cstheme="minorHAnsi"/>
          <w:b/>
          <w:lang w:val="fr-FR" w:eastAsia="en-GB"/>
        </w:rPr>
        <w:t>Type de contrat :</w:t>
      </w:r>
      <w:r w:rsidRPr="0003495E">
        <w:rPr>
          <w:rFonts w:eastAsia="Times New Roman" w:cstheme="minorHAnsi"/>
          <w:i/>
          <w:lang w:val="fr-FR" w:eastAsia="en-GB"/>
        </w:rPr>
        <w:tab/>
        <w:t xml:space="preserve">         </w:t>
      </w:r>
      <w:r w:rsidRPr="0003495E">
        <w:rPr>
          <w:rFonts w:eastAsia="Times New Roman" w:cstheme="minorHAnsi"/>
          <w:lang w:val="fr-FR" w:eastAsia="en-GB"/>
        </w:rPr>
        <w:t>Contrat Individuel</w:t>
      </w:r>
    </w:p>
    <w:p w14:paraId="51092EE3" w14:textId="77777777" w:rsidR="00947F09" w:rsidRPr="0003495E" w:rsidRDefault="00947F09" w:rsidP="00947F09">
      <w:pPr>
        <w:spacing w:before="120" w:after="120"/>
        <w:jc w:val="both"/>
        <w:rPr>
          <w:rFonts w:cstheme="minorHAnsi"/>
          <w:color w:val="000000"/>
          <w:lang w:val="fr-FR"/>
        </w:rPr>
      </w:pPr>
      <w:r w:rsidRPr="0003495E">
        <w:rPr>
          <w:rFonts w:cstheme="minorHAnsi"/>
          <w:noProof/>
          <w:lang w:val="fr-FR"/>
        </w:rPr>
        <mc:AlternateContent>
          <mc:Choice Requires="wps">
            <w:drawing>
              <wp:anchor distT="4294967293" distB="4294967293" distL="114300" distR="114300" simplePos="0" relativeHeight="251661312" behindDoc="0" locked="0" layoutInCell="1" allowOverlap="1" wp14:anchorId="60D98E50" wp14:editId="1535736C">
                <wp:simplePos x="0" y="0"/>
                <wp:positionH relativeFrom="column">
                  <wp:posOffset>-185420</wp:posOffset>
                </wp:positionH>
                <wp:positionV relativeFrom="paragraph">
                  <wp:posOffset>121284</wp:posOffset>
                </wp:positionV>
                <wp:extent cx="6638925" cy="0"/>
                <wp:effectExtent l="0" t="19050" r="2857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784BC" id="AutoShape 3" o:spid="_x0000_s1026" type="#_x0000_t32" style="position:absolute;margin-left:-14.6pt;margin-top:9.55pt;width:522.7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" strokecolor="blue" strokeweight="4.5pt">
                <o:lock v:ext="edit" shapetype="f"/>
              </v:shape>
            </w:pict>
          </mc:Fallback>
        </mc:AlternateContent>
      </w:r>
      <w:r w:rsidRPr="0003495E">
        <w:rPr>
          <w:rFonts w:cstheme="minorHAnsi"/>
          <w:color w:val="000000"/>
          <w:lang w:val="fr-FR"/>
        </w:rPr>
        <w:t xml:space="preserve"> </w:t>
      </w:r>
    </w:p>
    <w:p w14:paraId="68589174" w14:textId="11660E13" w:rsidR="00947F09" w:rsidRPr="0003495E" w:rsidRDefault="00947F09" w:rsidP="00947F09">
      <w:pPr>
        <w:tabs>
          <w:tab w:val="left" w:pos="1410"/>
        </w:tabs>
        <w:spacing w:before="120" w:after="120"/>
        <w:jc w:val="both"/>
        <w:rPr>
          <w:rFonts w:cstheme="minorHAnsi"/>
          <w:color w:val="000000"/>
          <w:lang w:val="fr-FR"/>
        </w:rPr>
      </w:pPr>
      <w:r w:rsidRPr="0003495E">
        <w:rPr>
          <w:rFonts w:cstheme="minorHAnsi"/>
          <w:color w:val="000000"/>
          <w:lang w:val="fr-FR"/>
        </w:rPr>
        <w:t xml:space="preserve">Les </w:t>
      </w:r>
      <w:r w:rsidR="00F0266C" w:rsidRPr="0003495E">
        <w:rPr>
          <w:rFonts w:cstheme="minorHAnsi"/>
          <w:color w:val="000000"/>
          <w:lang w:val="fr-FR"/>
        </w:rPr>
        <w:t>candidats intéressés</w:t>
      </w:r>
      <w:r w:rsidRPr="0003495E">
        <w:rPr>
          <w:rFonts w:cstheme="minorHAnsi"/>
          <w:color w:val="000000"/>
          <w:lang w:val="fr-FR"/>
        </w:rPr>
        <w:t xml:space="preserve"> sont invités à soumettre leurs offres (technique et financière) de service par courriel en fichiers séparés conjointement à l’adresse </w:t>
      </w:r>
      <w:r w:rsidR="001F60CD" w:rsidRPr="0003495E">
        <w:rPr>
          <w:rFonts w:cstheme="minorHAnsi"/>
          <w:color w:val="000000"/>
          <w:lang w:val="fr-FR"/>
        </w:rPr>
        <w:t>suivante :</w:t>
      </w:r>
    </w:p>
    <w:p w14:paraId="28D10AED" w14:textId="1DA6F73C" w:rsidR="00947F09" w:rsidRPr="0003495E" w:rsidRDefault="00BE1E29" w:rsidP="00947F09">
      <w:pPr>
        <w:tabs>
          <w:tab w:val="left" w:pos="1410"/>
        </w:tabs>
        <w:spacing w:before="120" w:after="120"/>
        <w:jc w:val="both"/>
        <w:rPr>
          <w:rFonts w:cstheme="minorHAnsi"/>
          <w:color w:val="000000"/>
          <w:lang w:val="fr-FR"/>
        </w:rPr>
      </w:pPr>
      <w:hyperlink r:id="rId7" w:history="1">
        <w:r w:rsidR="003B1790" w:rsidRPr="0003495E">
          <w:rPr>
            <w:rStyle w:val="Lienhypertexte"/>
            <w:rFonts w:cstheme="minorHAnsi"/>
            <w:lang w:val="fr-FR"/>
          </w:rPr>
          <w:t>procurement.td@undp.org</w:t>
        </w:r>
      </w:hyperlink>
    </w:p>
    <w:p w14:paraId="769CDC45" w14:textId="0D3EBE0B" w:rsidR="00947F09" w:rsidRPr="0003495E" w:rsidRDefault="00947F09" w:rsidP="00947F09">
      <w:pPr>
        <w:tabs>
          <w:tab w:val="left" w:pos="1410"/>
        </w:tabs>
        <w:spacing w:before="120" w:after="120"/>
        <w:jc w:val="both"/>
        <w:rPr>
          <w:rFonts w:cstheme="minorHAnsi"/>
          <w:color w:val="000000"/>
          <w:lang w:val="fr-FR"/>
        </w:rPr>
      </w:pPr>
      <w:r w:rsidRPr="0003495E">
        <w:rPr>
          <w:rFonts w:cstheme="minorHAnsi"/>
          <w:color w:val="000000"/>
          <w:lang w:val="fr-FR"/>
        </w:rPr>
        <w:t>au plus tard le</w:t>
      </w:r>
      <w:r w:rsidR="009A2001" w:rsidRPr="0003495E">
        <w:rPr>
          <w:rFonts w:cstheme="minorHAnsi"/>
          <w:color w:val="000000"/>
          <w:lang w:val="fr-FR"/>
        </w:rPr>
        <w:t xml:space="preserve"> </w:t>
      </w:r>
      <w:r w:rsidR="00820256">
        <w:rPr>
          <w:rFonts w:cstheme="minorHAnsi"/>
          <w:color w:val="000000"/>
          <w:lang w:val="fr-FR"/>
        </w:rPr>
        <w:t>lundi</w:t>
      </w:r>
      <w:r w:rsidR="00BE73C8" w:rsidRPr="00820256">
        <w:rPr>
          <w:rFonts w:eastAsia="Times New Roman" w:cstheme="minorHAnsi"/>
          <w:bCs/>
          <w:iCs/>
          <w:highlight w:val="yellow"/>
          <w:lang w:val="fr-FR" w:eastAsia="en-GB"/>
        </w:rPr>
        <w:t xml:space="preserve"> </w:t>
      </w:r>
      <w:r w:rsidR="00582675">
        <w:rPr>
          <w:rFonts w:eastAsia="Times New Roman" w:cstheme="minorHAnsi"/>
          <w:bCs/>
          <w:iCs/>
          <w:highlight w:val="yellow"/>
          <w:lang w:val="fr-FR" w:eastAsia="en-GB"/>
        </w:rPr>
        <w:t>24</w:t>
      </w:r>
      <w:r w:rsidR="00C84E2D" w:rsidRPr="0003495E">
        <w:rPr>
          <w:rFonts w:eastAsia="Times New Roman" w:cstheme="minorHAnsi"/>
          <w:bCs/>
          <w:iCs/>
          <w:highlight w:val="yellow"/>
          <w:lang w:val="fr-FR" w:eastAsia="en-GB"/>
        </w:rPr>
        <w:t xml:space="preserve"> septembre </w:t>
      </w:r>
      <w:r w:rsidR="00C84E2D" w:rsidRPr="0003495E">
        <w:rPr>
          <w:rFonts w:eastAsia="Times New Roman" w:cstheme="minorHAnsi"/>
          <w:bCs/>
          <w:highlight w:val="yellow"/>
          <w:lang w:val="fr-FR" w:eastAsia="en-GB"/>
        </w:rPr>
        <w:t>2021</w:t>
      </w:r>
      <w:r w:rsidRPr="0003495E">
        <w:rPr>
          <w:rFonts w:cstheme="minorHAnsi"/>
          <w:color w:val="000000"/>
          <w:lang w:val="fr-FR"/>
        </w:rPr>
        <w:t xml:space="preserve">, en indiquant la référence </w:t>
      </w:r>
      <w:r w:rsidR="0044792A">
        <w:rPr>
          <w:rFonts w:eastAsia="Times New Roman" w:cstheme="minorHAnsi"/>
          <w:b/>
          <w:bCs/>
          <w:highlight w:val="yellow"/>
          <w:lang w:val="fr-FR"/>
        </w:rPr>
        <w:t>24</w:t>
      </w:r>
      <w:r w:rsidR="0044792A" w:rsidRPr="0003495E">
        <w:rPr>
          <w:rFonts w:eastAsia="Times New Roman" w:cstheme="minorHAnsi"/>
          <w:b/>
          <w:bCs/>
          <w:highlight w:val="yellow"/>
          <w:lang w:val="fr-FR"/>
        </w:rPr>
        <w:t>/TCD/0</w:t>
      </w:r>
      <w:r w:rsidR="0044792A">
        <w:rPr>
          <w:rFonts w:eastAsia="Times New Roman" w:cstheme="minorHAnsi"/>
          <w:b/>
          <w:bCs/>
          <w:highlight w:val="yellow"/>
          <w:lang w:val="fr-FR"/>
        </w:rPr>
        <w:t>9</w:t>
      </w:r>
      <w:r w:rsidR="0044792A" w:rsidRPr="0003495E">
        <w:rPr>
          <w:rFonts w:eastAsia="Times New Roman" w:cstheme="minorHAnsi"/>
          <w:b/>
          <w:bCs/>
          <w:highlight w:val="yellow"/>
          <w:lang w:val="fr-FR"/>
        </w:rPr>
        <w:t>/2021/IC</w:t>
      </w:r>
      <w:r w:rsidR="0044792A" w:rsidRPr="0003495E">
        <w:rPr>
          <w:rFonts w:eastAsia="Times New Roman" w:cstheme="minorHAnsi"/>
          <w:b/>
          <w:color w:val="000000"/>
          <w:lang w:val="fr-FR" w:eastAsia="rw-RW"/>
        </w:rPr>
        <w:t xml:space="preserve"> </w:t>
      </w:r>
      <w:r w:rsidRPr="0003495E">
        <w:rPr>
          <w:rFonts w:cstheme="minorHAnsi"/>
          <w:color w:val="000000"/>
          <w:lang w:val="fr-FR"/>
        </w:rPr>
        <w:t>(Si cette référence n’est pas indiquée en objet de votre mail, votre offre ne peut être considérée).</w:t>
      </w:r>
    </w:p>
    <w:p w14:paraId="7ABB296A" w14:textId="59F522AA" w:rsidR="00947F09" w:rsidRPr="0003495E" w:rsidRDefault="005744B8" w:rsidP="00947F09">
      <w:pPr>
        <w:ind w:right="1"/>
        <w:jc w:val="both"/>
        <w:rPr>
          <w:rFonts w:cstheme="minorHAnsi"/>
          <w:lang w:val="fr-FR"/>
        </w:rPr>
      </w:pPr>
      <w:r w:rsidRPr="0003495E">
        <w:rPr>
          <w:rFonts w:cstheme="minorHAnsi"/>
          <w:color w:val="000000"/>
          <w:lang w:val="fr-FR"/>
        </w:rPr>
        <w:t xml:space="preserve">Les demandes de clarification pourront être envoyées à l’adresse </w:t>
      </w:r>
      <w:hyperlink r:id="rId8" w:history="1">
        <w:r w:rsidRPr="0003495E">
          <w:rPr>
            <w:rStyle w:val="Lienhypertexte"/>
            <w:rFonts w:cstheme="minorHAnsi"/>
            <w:lang w:val="fr-FR"/>
          </w:rPr>
          <w:t>faq.td@undp.org</w:t>
        </w:r>
      </w:hyperlink>
      <w:r w:rsidR="00947F09" w:rsidRPr="0003495E">
        <w:rPr>
          <w:rFonts w:cstheme="minorHAnsi"/>
          <w:color w:val="000000"/>
          <w:lang w:val="fr-FR"/>
        </w:rPr>
        <w:t>.</w:t>
      </w:r>
    </w:p>
    <w:p w14:paraId="7930CC81" w14:textId="77777777" w:rsidR="00947F09" w:rsidRPr="0003495E" w:rsidRDefault="00947F09" w:rsidP="00947F09">
      <w:pPr>
        <w:jc w:val="both"/>
        <w:rPr>
          <w:rFonts w:cstheme="minorHAnsi"/>
          <w:b/>
          <w:lang w:val="fr-FR"/>
        </w:rPr>
      </w:pPr>
      <w:r w:rsidRPr="0003495E">
        <w:rPr>
          <w:rFonts w:cstheme="minorHAnsi"/>
          <w:noProof/>
          <w:lang w:val="fr-FR"/>
        </w:rPr>
        <mc:AlternateContent>
          <mc:Choice Requires="wps">
            <w:drawing>
              <wp:anchor distT="4294967293" distB="4294967293" distL="114300" distR="114300" simplePos="0" relativeHeight="251662336" behindDoc="0" locked="0" layoutInCell="1" allowOverlap="1" wp14:anchorId="3E99C057" wp14:editId="2B7495BC">
                <wp:simplePos x="0" y="0"/>
                <wp:positionH relativeFrom="column">
                  <wp:posOffset>-299720</wp:posOffset>
                </wp:positionH>
                <wp:positionV relativeFrom="paragraph">
                  <wp:posOffset>158749</wp:posOffset>
                </wp:positionV>
                <wp:extent cx="6638925" cy="0"/>
                <wp:effectExtent l="0" t="19050" r="2857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F0D75" id="AutoShape 3" o:spid="_x0000_s1026" type="#_x0000_t32" style="position:absolute;margin-left:-23.6pt;margin-top:12.5pt;width:522.7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" strokecolor="blue" strokeweight="4.5pt">
                <o:lock v:ext="edit" shapetype="f"/>
              </v:shape>
            </w:pict>
          </mc:Fallback>
        </mc:AlternateContent>
      </w:r>
    </w:p>
    <w:p w14:paraId="2A1847AD" w14:textId="77777777" w:rsidR="006702B7" w:rsidRPr="00153E1E" w:rsidRDefault="006702B7" w:rsidP="006702B7">
      <w:pPr>
        <w:pStyle w:val="Paragraphedeliste"/>
        <w:numPr>
          <w:ilvl w:val="0"/>
          <w:numId w:val="26"/>
        </w:numPr>
        <w:snapToGrid w:val="0"/>
        <w:spacing w:before="120" w:after="120"/>
        <w:contextualSpacing w:val="0"/>
        <w:jc w:val="both"/>
        <w:outlineLvl w:val="0"/>
        <w:rPr>
          <w:rFonts w:cstheme="minorHAnsi"/>
          <w:b/>
        </w:rPr>
      </w:pPr>
      <w:r w:rsidRPr="00153E1E">
        <w:rPr>
          <w:rFonts w:cstheme="minorHAnsi"/>
          <w:b/>
        </w:rPr>
        <w:t>Contexte et justification</w:t>
      </w:r>
    </w:p>
    <w:p w14:paraId="00828CBF" w14:textId="77777777" w:rsidR="006702B7" w:rsidRPr="006702B7" w:rsidRDefault="006702B7" w:rsidP="006702B7">
      <w:pPr>
        <w:snapToGrid w:val="0"/>
        <w:spacing w:before="120" w:after="120"/>
        <w:jc w:val="both"/>
        <w:rPr>
          <w:rFonts w:cstheme="minorHAnsi"/>
          <w:lang w:val="fr-FR"/>
        </w:rPr>
      </w:pPr>
      <w:r w:rsidRPr="006702B7">
        <w:rPr>
          <w:rFonts w:cstheme="minorHAnsi"/>
          <w:lang w:val="fr-FR"/>
        </w:rPr>
        <w:t xml:space="preserve">Comme dans beaucoup d’autres pays du Sahel, l’accès universel à une énergie propre, durable et abordable au Tchad reste un défi de taille, en particulier pour les populations les plus vulnérables. Le taux d'électrification au Tchad est de 12% dans l'ensemble, mais seulement de 3% dans les zones rurales, ce qui laisse une population rurale de 11,6 millions de personnes sans accès. L'électricité distribuée par le </w:t>
      </w:r>
      <w:r w:rsidRPr="006702B7">
        <w:rPr>
          <w:rFonts w:cstheme="minorHAnsi"/>
          <w:lang w:val="fr-FR"/>
        </w:rPr>
        <w:lastRenderedPageBreak/>
        <w:t xml:space="preserve">réseau national est presque exclusivement produite par des centrales thermiques qui génèrent moins de 60% de leur capacité prévue, en raison du vieillissement des infrastructures et du manque de maintenance. 90 % de la capacité de production est destinée à la capitale, N'Djamena. Ce faible niveau de service est aggravé par un réseau national dispersé et d’une faible efficacité, caractérisé par des pertes techniques et commerciales élevées. Le tarif des services publics nationaux ne reflète pas les coûts, et le niveau élevé des subventions entraîne de fréquents délestages, en particulier dans les zones rurales, où la population dépend principalement de générateurs diesel individuels pour une alimentation électrique fiable. </w:t>
      </w:r>
    </w:p>
    <w:p w14:paraId="2B5E2725" w14:textId="77777777" w:rsidR="006702B7" w:rsidRPr="006702B7" w:rsidRDefault="006702B7" w:rsidP="006702B7">
      <w:pPr>
        <w:snapToGrid w:val="0"/>
        <w:spacing w:before="120" w:after="120"/>
        <w:jc w:val="both"/>
        <w:rPr>
          <w:rFonts w:cstheme="minorHAnsi"/>
          <w:lang w:val="fr-FR"/>
        </w:rPr>
      </w:pPr>
      <w:r w:rsidRPr="006702B7">
        <w:rPr>
          <w:rFonts w:cstheme="minorHAnsi"/>
          <w:lang w:val="fr-FR"/>
        </w:rPr>
        <w:t xml:space="preserve">Le Tchad dispose d'un important potentiel inexploité d'énergies renouvelables, avec un rayonnement solaire de 4 500 à 6 500 Wh/m2/jour et un important potentiel éolien dans le Nord. À ce jour, un seul projet IPP (28 MW) d'énergie solaire photovoltaïque avec batteries est à un stade avancé de développement à Djermaya, près de N'Djamena. Ce projet et d'autres projets en cours de réalisation se heurtent à d'importantes barrières fiscales et douanières qui ont empêché leur développement harmonieux jusqu'à présent. De même, seuls quelques systèmes PV et éoliens hors réseau sont actuellement opérationnels ou prévus dans les zones rurales. </w:t>
      </w:r>
    </w:p>
    <w:p w14:paraId="56109347" w14:textId="77777777" w:rsidR="006702B7" w:rsidRPr="006702B7" w:rsidRDefault="006702B7" w:rsidP="006702B7">
      <w:pPr>
        <w:snapToGrid w:val="0"/>
        <w:spacing w:before="120" w:after="120"/>
        <w:jc w:val="both"/>
        <w:rPr>
          <w:rFonts w:cstheme="minorHAnsi"/>
          <w:lang w:val="fr-FR"/>
        </w:rPr>
      </w:pPr>
      <w:r w:rsidRPr="006702B7">
        <w:rPr>
          <w:rFonts w:cstheme="minorHAnsi"/>
          <w:lang w:val="fr-FR"/>
        </w:rPr>
        <w:t xml:space="preserve">Le gouvernement a adopté une nouvelle loi sur l'électricité en 2018 qui a introduit d'importantes réformes sectorielles telles que l'établissement d'un nouveau cadre institutionnel et réglementaire et la libéralisation du secteur, ouvrant la production d'électricité à la concurrence. Cependant, le nouveau cadre réglementaire n'est pas encore pleinement opérationnel et la capacité des institutions à planifier et à mettre en œuvre efficacement leur stratégie d'électrification reste limitée. En septembre 2020, le président du Tchad a annoncé un « plan d'urgence pour l'accès à l'électricité » en 2021-2023 avec l'objectif de puiser dans toutes les sources de fonds privés et publics disponibles pour remédier au manque critique d'accès à l'électricité dans le pays, notamment en promouvant les énergies renouvelables. </w:t>
      </w:r>
    </w:p>
    <w:p w14:paraId="54EEF228" w14:textId="77777777" w:rsidR="006702B7" w:rsidRPr="006702B7" w:rsidRDefault="006702B7" w:rsidP="006702B7">
      <w:pPr>
        <w:snapToGrid w:val="0"/>
        <w:spacing w:before="120" w:after="120"/>
        <w:jc w:val="both"/>
        <w:rPr>
          <w:rFonts w:cstheme="minorHAnsi"/>
          <w:lang w:val="fr-FR"/>
        </w:rPr>
      </w:pPr>
      <w:r w:rsidRPr="006702B7">
        <w:rPr>
          <w:rFonts w:cstheme="minorHAnsi"/>
          <w:lang w:val="fr-FR"/>
        </w:rPr>
        <w:t xml:space="preserve">L’électrification rurale par des solutions hors réseau, telles que les mini-réseaux à base d’énergies renouvelables, ont le potentiel de jouer un rôle important pour apporter des services énergétiques fiables, abordables et durables aux communautés isolées. A l’heure actuelle cependant, la majorité des mini-réseaux existants dans le Sahel fonctionnent essentiellement aux énergies fossiles et sont confrontés à d'importants défis de rentabilité et de durabilité, qui s’ajoutent aux difficultés d’ordre réglementaire pour le secteur privé. Les tarifs appliqués par les opérateurs de mini-réseaux sont généralement inadéquats pour les ménages, car ils reflètent le prix élevé du combustible fossile et de son transport vers les zones rurales. Le déploiement de mini-réseaux solaires avec batteries porté par les nouvelles tendances de la digitalisation et des modèles d’affaires innovants présente aujourd’hui une remarquable opportunité d’accélérer l’électrification des communautés rurales isolées et d’engager le secteur privé dans des investissements à fort impact. Pour réaliser ce potentiel, il est important de comprendre les risques qui limitent ces investissements et de développer des mesures appropriées d’atténuation de ces risques. </w:t>
      </w:r>
    </w:p>
    <w:p w14:paraId="6DCCC524" w14:textId="77777777" w:rsidR="006702B7" w:rsidRPr="006702B7" w:rsidRDefault="006702B7" w:rsidP="006702B7">
      <w:pPr>
        <w:snapToGrid w:val="0"/>
        <w:spacing w:before="120" w:after="120"/>
        <w:jc w:val="both"/>
        <w:rPr>
          <w:rFonts w:cstheme="minorHAnsi"/>
          <w:lang w:val="fr-FR"/>
        </w:rPr>
      </w:pPr>
      <w:r w:rsidRPr="006702B7">
        <w:rPr>
          <w:rFonts w:cstheme="minorHAnsi"/>
          <w:lang w:val="fr-FR"/>
        </w:rPr>
        <w:t xml:space="preserve">Pour soutenir les efforts du gouvernement vers l’électrification des populations les plus vulnérables, le PNUD Tchad met en œuvre sur fonds propre un projet visant à identifier et promouvoir des solutions énergétiques durables pour la population tchadienne. Le projet expérimentera une gamme de solutions d’énergies renouvelables afin de faire la démonstration d’un modèle énergétique efficace et </w:t>
      </w:r>
      <w:r w:rsidRPr="006702B7">
        <w:rPr>
          <w:rFonts w:cstheme="minorHAnsi"/>
          <w:lang w:val="fr-FR"/>
        </w:rPr>
        <w:lastRenderedPageBreak/>
        <w:t xml:space="preserve">économiquement abordables aux populations, au gouvernement et aux promoteurs économiques. En particulier, ce projet permettra la mise en œuvre d’un mini-réseau pilote 100% photovoltaïque avec batteries pour alimenter une commune en énergie propre, durable et abordable et exploiter le potentiel important en énergie solaire du pays. </w:t>
      </w:r>
    </w:p>
    <w:p w14:paraId="63B3E366" w14:textId="77777777" w:rsidR="006702B7" w:rsidRPr="006702B7" w:rsidRDefault="006702B7" w:rsidP="006702B7">
      <w:pPr>
        <w:snapToGrid w:val="0"/>
        <w:spacing w:before="120" w:after="120"/>
        <w:jc w:val="both"/>
        <w:rPr>
          <w:rFonts w:cstheme="minorHAnsi"/>
          <w:lang w:val="fr-FR"/>
        </w:rPr>
      </w:pPr>
      <w:r w:rsidRPr="006702B7">
        <w:rPr>
          <w:rFonts w:cstheme="minorHAnsi"/>
          <w:lang w:val="fr-FR"/>
        </w:rPr>
        <w:t xml:space="preserve">Dans le cadre de ce projet, le PNUD Tchad entend </w:t>
      </w:r>
      <w:r w:rsidRPr="006702B7">
        <w:rPr>
          <w:rFonts w:cstheme="minorHAnsi"/>
          <w:b/>
          <w:bCs/>
          <w:lang w:val="fr-FR"/>
        </w:rPr>
        <w:t>recruter un consultant international</w:t>
      </w:r>
      <w:r w:rsidRPr="006702B7">
        <w:rPr>
          <w:rFonts w:cstheme="minorHAnsi"/>
          <w:lang w:val="fr-FR"/>
        </w:rPr>
        <w:t xml:space="preserve"> pour réaliser une analyse des risques liés aux investissements dans les mini-réseaux solaires photovoltaïques au Tchad en suivant la méthodologie DREI (</w:t>
      </w:r>
      <w:r w:rsidRPr="006702B7">
        <w:rPr>
          <w:rFonts w:cstheme="minorHAnsi"/>
          <w:i/>
          <w:iCs/>
          <w:lang w:val="fr-FR"/>
        </w:rPr>
        <w:t>Derisking Renewable Energy Investment</w:t>
      </w:r>
      <w:r w:rsidRPr="006702B7">
        <w:rPr>
          <w:rFonts w:cstheme="minorHAnsi"/>
          <w:lang w:val="fr-FR"/>
        </w:rPr>
        <w:t>)</w:t>
      </w:r>
      <w:r w:rsidRPr="00153E1E">
        <w:rPr>
          <w:rStyle w:val="Appelnotedebasdep"/>
          <w:rFonts w:cstheme="minorHAnsi"/>
        </w:rPr>
        <w:footnoteReference w:id="1"/>
      </w:r>
      <w:r w:rsidRPr="006702B7">
        <w:rPr>
          <w:rFonts w:cstheme="minorHAnsi"/>
          <w:lang w:val="fr-FR"/>
        </w:rPr>
        <w:t>, afin de proposer des interventions publiques susceptibles d’atténuer ces risques. Cette méthodologie, développée par le PNUD au cours des dix dernières années, identifie systématiquement les obstacles et les risques associés susceptibles de freiner les investissements du secteur privé dans les énergies renouvelables. Elle aide ensuite les décideurs à mettre en place des ensembles d’interventions publiques ciblées pour faire face à ces risques. L’objectif général est de réaliser de manière rentable un profil risque-rendement qui catalyse les investissements du secteur privé à grande échelle, et permette de proposer des solutions d'énergie renouvelable fiables et abordables dans les pays en développement.</w:t>
      </w:r>
    </w:p>
    <w:p w14:paraId="07279A7F" w14:textId="77777777" w:rsidR="006702B7" w:rsidRPr="006702B7" w:rsidRDefault="006702B7" w:rsidP="006702B7">
      <w:pPr>
        <w:snapToGrid w:val="0"/>
        <w:spacing w:before="120" w:after="120"/>
        <w:jc w:val="both"/>
        <w:rPr>
          <w:rFonts w:cstheme="minorHAnsi"/>
          <w:lang w:val="fr-FR"/>
        </w:rPr>
      </w:pPr>
      <w:r w:rsidRPr="006702B7">
        <w:rPr>
          <w:rFonts w:cstheme="minorHAnsi"/>
          <w:lang w:val="fr-FR"/>
        </w:rPr>
        <w:t>Ce consultant international doit être doté des compétences et de l’expérience requises pour ce type de conseil.</w:t>
      </w:r>
    </w:p>
    <w:p w14:paraId="155EB6D5" w14:textId="77777777" w:rsidR="006702B7" w:rsidRPr="00153E1E" w:rsidRDefault="006702B7" w:rsidP="006702B7">
      <w:pPr>
        <w:pStyle w:val="Paragraphedeliste"/>
        <w:numPr>
          <w:ilvl w:val="0"/>
          <w:numId w:val="26"/>
        </w:numPr>
        <w:snapToGrid w:val="0"/>
        <w:spacing w:before="120" w:after="120"/>
        <w:contextualSpacing w:val="0"/>
        <w:jc w:val="both"/>
        <w:rPr>
          <w:rFonts w:cstheme="minorHAnsi"/>
          <w:b/>
          <w:bCs/>
        </w:rPr>
      </w:pPr>
      <w:r w:rsidRPr="00153E1E">
        <w:rPr>
          <w:rFonts w:cstheme="minorHAnsi"/>
          <w:b/>
          <w:bCs/>
        </w:rPr>
        <w:t xml:space="preserve">Champs des travaux </w:t>
      </w:r>
    </w:p>
    <w:p w14:paraId="6D98C1CC" w14:textId="77777777" w:rsidR="006702B7" w:rsidRPr="006702B7" w:rsidRDefault="006702B7" w:rsidP="006702B7">
      <w:pPr>
        <w:snapToGrid w:val="0"/>
        <w:spacing w:before="120" w:after="120"/>
        <w:jc w:val="both"/>
        <w:rPr>
          <w:rFonts w:cstheme="minorHAnsi"/>
          <w:lang w:val="fr-FR"/>
        </w:rPr>
      </w:pPr>
      <w:r w:rsidRPr="006702B7">
        <w:rPr>
          <w:rFonts w:cstheme="minorHAnsi"/>
          <w:lang w:val="fr-FR"/>
        </w:rPr>
        <w:t>Sous la responsabilité du Représentant Résident Adjoint/Programme du PNUD et la supervision du chef d’unité développement durable, le consultant devra identifier les obstacles et les risques associés pouvant freiner les investissements du secteur privé dans les « mini-réseaux solaires photovoltaïques ». Il aidera ensuite les décideurs à sélectionner ou identifier un ensemble d’interventions pour faire face à ces risques. Chaque intervention agit de l’une des trois manières : en réduisant, en transférant ou en compensant les risques.</w:t>
      </w:r>
    </w:p>
    <w:p w14:paraId="184FA6B3" w14:textId="77777777" w:rsidR="006702B7" w:rsidRPr="006702B7" w:rsidRDefault="006702B7" w:rsidP="006702B7">
      <w:pPr>
        <w:snapToGrid w:val="0"/>
        <w:spacing w:before="120" w:after="120"/>
        <w:jc w:val="both"/>
        <w:rPr>
          <w:rFonts w:cstheme="minorHAnsi"/>
          <w:lang w:val="fr-FR"/>
        </w:rPr>
      </w:pPr>
      <w:r w:rsidRPr="006702B7">
        <w:rPr>
          <w:rFonts w:cstheme="minorHAnsi"/>
          <w:lang w:val="fr-FR"/>
        </w:rPr>
        <w:t xml:space="preserve">L'objectif de la consultation est d'entreprendre un certain nombre d'activités liées à la réalisation d'une analyse DREI et à la préparation d'un rapport DREI pour les mini-réseaux photovoltaïques au Tchad. Le produit final de la consultation sera un rapport final DREI, accompagné de propositions de mesures d’atténuation. </w:t>
      </w:r>
    </w:p>
    <w:p w14:paraId="42BAD09B" w14:textId="77777777" w:rsidR="006702B7" w:rsidRPr="006702B7" w:rsidRDefault="006702B7" w:rsidP="006702B7">
      <w:pPr>
        <w:snapToGrid w:val="0"/>
        <w:spacing w:before="120" w:after="120"/>
        <w:rPr>
          <w:rFonts w:cstheme="minorHAnsi"/>
          <w:b/>
          <w:bCs/>
          <w:lang w:val="fr-FR"/>
        </w:rPr>
      </w:pPr>
      <w:r w:rsidRPr="006702B7">
        <w:rPr>
          <w:rFonts w:cstheme="minorHAnsi"/>
          <w:b/>
          <w:bCs/>
          <w:lang w:val="fr-FR"/>
        </w:rPr>
        <w:t>Portée du travail</w:t>
      </w:r>
    </w:p>
    <w:p w14:paraId="13E1B143" w14:textId="77777777" w:rsidR="006702B7" w:rsidRPr="006702B7" w:rsidRDefault="006702B7" w:rsidP="006702B7">
      <w:pPr>
        <w:snapToGrid w:val="0"/>
        <w:spacing w:before="120" w:after="120"/>
        <w:rPr>
          <w:rFonts w:cstheme="minorHAnsi"/>
          <w:lang w:val="fr-FR"/>
        </w:rPr>
      </w:pPr>
      <w:r w:rsidRPr="006702B7">
        <w:rPr>
          <w:rFonts w:cstheme="minorHAnsi"/>
          <w:lang w:val="fr-FR"/>
        </w:rPr>
        <w:t>Le travail sera structuré en trois activités distribuées sur 45 jours ouvrés en 4 mois : (1) une analyse DREI, (2) un rapport DREI et (3) une formation au DREI à l’intention de la partie nationale. Ces activités seront réalisées sous la supervision du PNUD. Le consultant international sera assisté dans cette mission par un consultant national.</w:t>
      </w:r>
    </w:p>
    <w:p w14:paraId="545A20D8" w14:textId="77777777" w:rsidR="006702B7" w:rsidRPr="006702B7" w:rsidRDefault="006702B7" w:rsidP="006702B7">
      <w:pPr>
        <w:snapToGrid w:val="0"/>
        <w:spacing w:before="120" w:after="120"/>
        <w:rPr>
          <w:rFonts w:cstheme="minorHAnsi"/>
          <w:lang w:val="fr-FR"/>
        </w:rPr>
      </w:pPr>
      <w:r w:rsidRPr="006702B7">
        <w:rPr>
          <w:rFonts w:cstheme="minorHAnsi"/>
          <w:lang w:val="fr-FR"/>
        </w:rPr>
        <w:t>Le conseiller technique régional du PNUD, spécialiste de l’énergie et changement climatique au Hub Régional du PNUD de Dakar sera disponible pour fournir des conseils sur la méthodologie de la DREI au cours des consultations.</w:t>
      </w:r>
    </w:p>
    <w:p w14:paraId="20AADF94" w14:textId="77777777" w:rsidR="006702B7" w:rsidRPr="006702B7" w:rsidRDefault="006702B7" w:rsidP="006702B7">
      <w:pPr>
        <w:snapToGrid w:val="0"/>
        <w:spacing w:before="120" w:after="120"/>
        <w:rPr>
          <w:rFonts w:cstheme="minorHAnsi"/>
          <w:lang w:val="fr-FR"/>
        </w:rPr>
      </w:pPr>
    </w:p>
    <w:p w14:paraId="564FF3D3" w14:textId="77777777" w:rsidR="006702B7" w:rsidRPr="006702B7" w:rsidRDefault="006702B7" w:rsidP="006702B7">
      <w:pPr>
        <w:shd w:val="clear" w:color="auto" w:fill="D9E2F3" w:themeFill="accent1" w:themeFillTint="33"/>
        <w:snapToGrid w:val="0"/>
        <w:spacing w:before="120" w:after="120"/>
        <w:rPr>
          <w:rFonts w:cstheme="minorHAnsi"/>
          <w:b/>
          <w:bCs/>
          <w:lang w:val="fr-FR"/>
        </w:rPr>
      </w:pPr>
      <w:r w:rsidRPr="006702B7">
        <w:rPr>
          <w:rFonts w:cstheme="minorHAnsi"/>
          <w:b/>
          <w:bCs/>
          <w:lang w:val="fr-FR"/>
        </w:rPr>
        <w:t>Activité 1 : Analyse DREI pour les mini-réseaux solaires photovoltaïques [Estimation : env. 20 jours]</w:t>
      </w:r>
    </w:p>
    <w:p w14:paraId="5449D54B" w14:textId="77777777" w:rsidR="006702B7" w:rsidRPr="006702B7" w:rsidRDefault="006702B7" w:rsidP="006702B7">
      <w:pPr>
        <w:snapToGrid w:val="0"/>
        <w:spacing w:before="120" w:after="120"/>
        <w:rPr>
          <w:rFonts w:cstheme="minorHAnsi"/>
          <w:b/>
          <w:bCs/>
          <w:i/>
          <w:iCs/>
          <w:lang w:val="fr-FR"/>
        </w:rPr>
      </w:pPr>
      <w:r w:rsidRPr="006702B7">
        <w:rPr>
          <w:rFonts w:cstheme="minorHAnsi"/>
          <w:b/>
          <w:bCs/>
          <w:i/>
          <w:iCs/>
          <w:lang w:val="fr-FR"/>
        </w:rPr>
        <w:t>Étape 1 : Analyse de l’environnement des risques [Estimation : env. 10 jours]</w:t>
      </w:r>
    </w:p>
    <w:p w14:paraId="2F8890D0" w14:textId="77777777" w:rsidR="006702B7" w:rsidRPr="006702B7" w:rsidRDefault="006702B7" w:rsidP="006702B7">
      <w:pPr>
        <w:pStyle w:val="Paragraphedeliste"/>
        <w:numPr>
          <w:ilvl w:val="0"/>
          <w:numId w:val="27"/>
        </w:numPr>
        <w:snapToGrid w:val="0"/>
        <w:spacing w:before="120" w:after="120"/>
        <w:jc w:val="both"/>
        <w:rPr>
          <w:rFonts w:cstheme="minorHAnsi"/>
          <w:lang w:val="fr-FR"/>
        </w:rPr>
      </w:pPr>
      <w:r w:rsidRPr="006702B7">
        <w:rPr>
          <w:rFonts w:cstheme="minorHAnsi"/>
          <w:lang w:val="fr-FR"/>
        </w:rPr>
        <w:t>Recueillir des informations sur le marché des mini-réseaux photovoltaïques au Tchad, y compris les investissements existants / prévus, les obstacles commerciaux et les parties prenantes concernées ;</w:t>
      </w:r>
    </w:p>
    <w:p w14:paraId="25284AFD" w14:textId="77777777" w:rsidR="006702B7" w:rsidRPr="006702B7" w:rsidRDefault="006702B7" w:rsidP="006702B7">
      <w:pPr>
        <w:pStyle w:val="Paragraphedeliste"/>
        <w:numPr>
          <w:ilvl w:val="0"/>
          <w:numId w:val="27"/>
        </w:numPr>
        <w:snapToGrid w:val="0"/>
        <w:spacing w:before="120" w:after="120"/>
        <w:jc w:val="both"/>
        <w:rPr>
          <w:rFonts w:cstheme="minorHAnsi"/>
          <w:lang w:val="fr-FR"/>
        </w:rPr>
      </w:pPr>
      <w:r w:rsidRPr="006702B7">
        <w:rPr>
          <w:rFonts w:cstheme="minorHAnsi"/>
          <w:lang w:val="fr-FR"/>
        </w:rPr>
        <w:t>A l’aide du modèle de tableau des barrières et des risques, préparer un tableau des barrières et des risques adaptés aux mini-réseaux photovoltaïques au Tchad ;</w:t>
      </w:r>
    </w:p>
    <w:p w14:paraId="15D19412" w14:textId="77777777" w:rsidR="006702B7" w:rsidRPr="006702B7" w:rsidRDefault="006702B7" w:rsidP="006702B7">
      <w:pPr>
        <w:pStyle w:val="Paragraphedeliste"/>
        <w:numPr>
          <w:ilvl w:val="0"/>
          <w:numId w:val="27"/>
        </w:numPr>
        <w:snapToGrid w:val="0"/>
        <w:spacing w:before="120" w:after="120"/>
        <w:jc w:val="both"/>
        <w:rPr>
          <w:rFonts w:cstheme="minorHAnsi"/>
          <w:lang w:val="fr-FR"/>
        </w:rPr>
      </w:pPr>
      <w:r w:rsidRPr="006702B7">
        <w:rPr>
          <w:rFonts w:cstheme="minorHAnsi"/>
          <w:lang w:val="fr-FR"/>
        </w:rPr>
        <w:t>A l’aide du modèle d’entretien du DREI, préparer un modèle d’entretien adapté au secteur des mini-réseaux photovoltaïques au Tchad ;</w:t>
      </w:r>
    </w:p>
    <w:p w14:paraId="242A26F2" w14:textId="77777777" w:rsidR="006702B7" w:rsidRPr="00153E1E" w:rsidRDefault="006702B7" w:rsidP="006702B7">
      <w:pPr>
        <w:pStyle w:val="Paragraphedeliste"/>
        <w:numPr>
          <w:ilvl w:val="0"/>
          <w:numId w:val="27"/>
        </w:numPr>
        <w:snapToGrid w:val="0"/>
        <w:spacing w:before="120" w:after="120"/>
        <w:jc w:val="both"/>
        <w:rPr>
          <w:rFonts w:cstheme="minorHAnsi"/>
        </w:rPr>
      </w:pPr>
      <w:r w:rsidRPr="006702B7">
        <w:rPr>
          <w:rFonts w:cstheme="minorHAnsi"/>
          <w:lang w:val="fr-FR"/>
        </w:rPr>
        <w:t xml:space="preserve">Organiser et effectuer des entretiens structurés avec des promoteurs du secteur privé et / ou des investisseurs dans le domaine des technologies de mini-réseaux photovoltaïques au Tchad. Ces entretiens peuvent être réalisés à distance. Enregistrer les résultats quantitatifs et qualitatifs. </w:t>
      </w:r>
      <w:r w:rsidRPr="00153E1E">
        <w:rPr>
          <w:rFonts w:cstheme="minorHAnsi"/>
        </w:rPr>
        <w:t>Traiter tous les résultats en toute confidentialité ;</w:t>
      </w:r>
    </w:p>
    <w:p w14:paraId="0024D26E" w14:textId="77777777" w:rsidR="006702B7" w:rsidRPr="006702B7" w:rsidRDefault="006702B7" w:rsidP="006702B7">
      <w:pPr>
        <w:pStyle w:val="Paragraphedeliste"/>
        <w:numPr>
          <w:ilvl w:val="0"/>
          <w:numId w:val="27"/>
        </w:numPr>
        <w:snapToGrid w:val="0"/>
        <w:spacing w:before="120" w:after="120"/>
        <w:jc w:val="both"/>
        <w:rPr>
          <w:rFonts w:cstheme="minorHAnsi"/>
          <w:lang w:val="fr-FR"/>
        </w:rPr>
      </w:pPr>
      <w:r w:rsidRPr="006702B7">
        <w:rPr>
          <w:rFonts w:cstheme="minorHAnsi"/>
          <w:lang w:val="fr-FR"/>
        </w:rPr>
        <w:t>À l'aide de l'outil de calcul du coût de financement DREI (Excel), générer des cascades de financement identifiant comment les risques contribuent à augmenter les coûts de financement.</w:t>
      </w:r>
    </w:p>
    <w:p w14:paraId="1FA98880" w14:textId="77777777" w:rsidR="006702B7" w:rsidRPr="006702B7" w:rsidRDefault="006702B7" w:rsidP="006702B7">
      <w:pPr>
        <w:snapToGrid w:val="0"/>
        <w:spacing w:before="120" w:after="120"/>
        <w:rPr>
          <w:rFonts w:cstheme="minorHAnsi"/>
          <w:b/>
          <w:bCs/>
          <w:i/>
          <w:iCs/>
          <w:lang w:val="fr-FR"/>
        </w:rPr>
      </w:pPr>
      <w:r w:rsidRPr="006702B7">
        <w:rPr>
          <w:rFonts w:cstheme="minorHAnsi"/>
          <w:b/>
          <w:bCs/>
          <w:i/>
          <w:iCs/>
          <w:lang w:val="fr-FR"/>
        </w:rPr>
        <w:t>Étape 2 : Sélection des instruments publics [Estimation : env. 4 jours]</w:t>
      </w:r>
    </w:p>
    <w:p w14:paraId="45E6555E" w14:textId="77777777" w:rsidR="006702B7" w:rsidRPr="006702B7" w:rsidRDefault="006702B7" w:rsidP="006702B7">
      <w:pPr>
        <w:pStyle w:val="Paragraphedeliste"/>
        <w:numPr>
          <w:ilvl w:val="0"/>
          <w:numId w:val="28"/>
        </w:numPr>
        <w:snapToGrid w:val="0"/>
        <w:spacing w:before="120" w:after="120"/>
        <w:jc w:val="both"/>
        <w:rPr>
          <w:rFonts w:cstheme="minorHAnsi"/>
          <w:lang w:val="fr-FR"/>
        </w:rPr>
      </w:pPr>
      <w:r w:rsidRPr="006702B7">
        <w:rPr>
          <w:rFonts w:cstheme="minorHAnsi"/>
          <w:lang w:val="fr-FR"/>
        </w:rPr>
        <w:t>Effectuer une analyse des instruments publics existants mis en œuvre par le gouvernement ou d'autres acteurs du développement ;</w:t>
      </w:r>
    </w:p>
    <w:p w14:paraId="3065C839" w14:textId="77777777" w:rsidR="006702B7" w:rsidRPr="006702B7" w:rsidRDefault="006702B7" w:rsidP="006702B7">
      <w:pPr>
        <w:pStyle w:val="Paragraphedeliste"/>
        <w:numPr>
          <w:ilvl w:val="0"/>
          <w:numId w:val="28"/>
        </w:numPr>
        <w:snapToGrid w:val="0"/>
        <w:spacing w:before="120" w:after="120"/>
        <w:jc w:val="both"/>
        <w:rPr>
          <w:rFonts w:cstheme="minorHAnsi"/>
          <w:lang w:val="fr-FR"/>
        </w:rPr>
      </w:pPr>
      <w:r w:rsidRPr="006702B7">
        <w:rPr>
          <w:rFonts w:cstheme="minorHAnsi"/>
          <w:lang w:val="fr-FR"/>
        </w:rPr>
        <w:t>Sur la base des données des entretiens, sélectionner un ensemble d'instruments publics à utiliser dans l'analyse DREI ;</w:t>
      </w:r>
    </w:p>
    <w:p w14:paraId="4BBEFAB6" w14:textId="77777777" w:rsidR="006702B7" w:rsidRPr="00153E1E" w:rsidRDefault="006702B7" w:rsidP="006702B7">
      <w:pPr>
        <w:pStyle w:val="Paragraphedeliste"/>
        <w:numPr>
          <w:ilvl w:val="0"/>
          <w:numId w:val="28"/>
        </w:numPr>
        <w:snapToGrid w:val="0"/>
        <w:spacing w:before="120" w:after="120"/>
        <w:jc w:val="both"/>
        <w:rPr>
          <w:rFonts w:cstheme="minorHAnsi"/>
        </w:rPr>
      </w:pPr>
      <w:r w:rsidRPr="006702B7">
        <w:rPr>
          <w:rFonts w:cstheme="minorHAnsi"/>
          <w:lang w:val="fr-FR"/>
        </w:rPr>
        <w:t xml:space="preserve">À l'aide de l'outil de calcul du coût des instruments publics DREI (Excel), modéliser le coût anticipé de l'ensemble des instruments publics sélectionnés. Déterminer les hypothèses sous- jacentes raisonnables pour la modélisation, sur la base de données de référence au Tchad. </w:t>
      </w:r>
      <w:r w:rsidRPr="00153E1E">
        <w:rPr>
          <w:rFonts w:cstheme="minorHAnsi"/>
        </w:rPr>
        <w:t>Documenter la justification des hypothèses utilisées et leurs sources ;</w:t>
      </w:r>
    </w:p>
    <w:p w14:paraId="78A5074F" w14:textId="77777777" w:rsidR="006702B7" w:rsidRPr="006702B7" w:rsidRDefault="006702B7" w:rsidP="006702B7">
      <w:pPr>
        <w:pStyle w:val="Paragraphedeliste"/>
        <w:numPr>
          <w:ilvl w:val="0"/>
          <w:numId w:val="28"/>
        </w:numPr>
        <w:snapToGrid w:val="0"/>
        <w:spacing w:before="120" w:after="120"/>
        <w:jc w:val="both"/>
        <w:rPr>
          <w:rFonts w:cstheme="minorHAnsi"/>
          <w:lang w:val="fr-FR"/>
        </w:rPr>
      </w:pPr>
      <w:r w:rsidRPr="006702B7">
        <w:rPr>
          <w:rFonts w:cstheme="minorHAnsi"/>
          <w:lang w:val="fr-FR"/>
        </w:rPr>
        <w:t>Sur la base des données des entretiens, déterminer l'efficacité quantitative de chaque instrument public sélectionné pour atténuer sa catégorie de risque ciblée.</w:t>
      </w:r>
    </w:p>
    <w:p w14:paraId="6E1650D1" w14:textId="77777777" w:rsidR="006702B7" w:rsidRPr="006702B7" w:rsidRDefault="006702B7" w:rsidP="006702B7">
      <w:pPr>
        <w:snapToGrid w:val="0"/>
        <w:spacing w:before="120" w:after="120"/>
        <w:rPr>
          <w:rFonts w:cstheme="minorHAnsi"/>
          <w:b/>
          <w:bCs/>
          <w:i/>
          <w:iCs/>
          <w:lang w:val="fr-FR"/>
        </w:rPr>
      </w:pPr>
      <w:r w:rsidRPr="006702B7">
        <w:rPr>
          <w:rFonts w:cstheme="minorHAnsi"/>
          <w:b/>
          <w:bCs/>
          <w:i/>
          <w:iCs/>
          <w:lang w:val="fr-FR"/>
        </w:rPr>
        <w:t>Étape 3 : Modélisation du coût nivelé de l’électricité (Levelised Cost Of Electricity - LCOE) [Estimation : env. 4 jours]</w:t>
      </w:r>
    </w:p>
    <w:p w14:paraId="69274A26" w14:textId="77777777" w:rsidR="006702B7" w:rsidRPr="006702B7" w:rsidRDefault="006702B7" w:rsidP="006702B7">
      <w:pPr>
        <w:pStyle w:val="Paragraphedeliste"/>
        <w:numPr>
          <w:ilvl w:val="0"/>
          <w:numId w:val="29"/>
        </w:numPr>
        <w:snapToGrid w:val="0"/>
        <w:spacing w:before="120" w:after="120"/>
        <w:jc w:val="both"/>
        <w:rPr>
          <w:rFonts w:cstheme="minorHAnsi"/>
          <w:lang w:val="fr-FR"/>
        </w:rPr>
      </w:pPr>
      <w:r w:rsidRPr="006702B7">
        <w:rPr>
          <w:rFonts w:cstheme="minorHAnsi"/>
          <w:lang w:val="fr-FR"/>
        </w:rPr>
        <w:t>Déterminer un objectif d'investissement approprié (capacité installée cible, année cible) pour les mini-réseaux photovoltaïques au Tchad pour l'analyse par modélisation ;</w:t>
      </w:r>
    </w:p>
    <w:p w14:paraId="2354871F" w14:textId="77777777" w:rsidR="006702B7" w:rsidRPr="006702B7" w:rsidRDefault="006702B7" w:rsidP="006702B7">
      <w:pPr>
        <w:pStyle w:val="Paragraphedeliste"/>
        <w:numPr>
          <w:ilvl w:val="0"/>
          <w:numId w:val="29"/>
        </w:numPr>
        <w:snapToGrid w:val="0"/>
        <w:spacing w:before="120" w:after="120"/>
        <w:jc w:val="both"/>
        <w:rPr>
          <w:rFonts w:cstheme="minorHAnsi"/>
          <w:lang w:val="fr-FR"/>
        </w:rPr>
      </w:pPr>
      <w:r w:rsidRPr="006702B7">
        <w:rPr>
          <w:rFonts w:cstheme="minorHAnsi"/>
          <w:lang w:val="fr-FR"/>
        </w:rPr>
        <w:t>Déterminer une approche appropriée pour identifier la technologie de base, y compris le rôle des subventions et des tarifs ne reflétant pas les coûts ;</w:t>
      </w:r>
    </w:p>
    <w:p w14:paraId="7CD078A4" w14:textId="77777777" w:rsidR="006702B7" w:rsidRPr="006702B7" w:rsidRDefault="006702B7" w:rsidP="006702B7">
      <w:pPr>
        <w:pStyle w:val="Paragraphedeliste"/>
        <w:numPr>
          <w:ilvl w:val="0"/>
          <w:numId w:val="29"/>
        </w:numPr>
        <w:snapToGrid w:val="0"/>
        <w:spacing w:before="120" w:after="120"/>
        <w:jc w:val="both"/>
        <w:rPr>
          <w:rFonts w:cstheme="minorHAnsi"/>
          <w:lang w:val="fr-FR"/>
        </w:rPr>
      </w:pPr>
      <w:r w:rsidRPr="006702B7">
        <w:rPr>
          <w:rFonts w:cstheme="minorHAnsi"/>
          <w:lang w:val="fr-FR"/>
        </w:rPr>
        <w:t>À l'aide de l'outil DREI LCOE « Levelized Cost Of Energy » (coût actualisé de l’énergie) (Excel), effectuer des analyses de modélisation des mini-réseaux photovoltaïques dans un scénario antérieur à l’atténuation des risques, et postérieur à l’atténuation des risques, et par rapport à la technologie de base ;</w:t>
      </w:r>
    </w:p>
    <w:p w14:paraId="64B11740" w14:textId="77777777" w:rsidR="006702B7" w:rsidRPr="00153E1E" w:rsidRDefault="006702B7" w:rsidP="006702B7">
      <w:pPr>
        <w:pStyle w:val="Paragraphedeliste"/>
        <w:numPr>
          <w:ilvl w:val="0"/>
          <w:numId w:val="29"/>
        </w:numPr>
        <w:snapToGrid w:val="0"/>
        <w:spacing w:before="120" w:after="120"/>
        <w:jc w:val="both"/>
        <w:rPr>
          <w:rFonts w:cstheme="minorHAnsi"/>
        </w:rPr>
      </w:pPr>
      <w:r w:rsidRPr="006702B7">
        <w:rPr>
          <w:rFonts w:cstheme="minorHAnsi"/>
          <w:lang w:val="fr-FR"/>
        </w:rPr>
        <w:lastRenderedPageBreak/>
        <w:t xml:space="preserve">Déterminer des données et hypothèses raisonnables (facteurs de capacité, coûts d'investissement, coûts opérationnels, etc.) pour les mini-réseaux photovoltaïques et la technologie de base à utiliser dans les analyses de modélisation. </w:t>
      </w:r>
      <w:r w:rsidRPr="00153E1E">
        <w:rPr>
          <w:rFonts w:cstheme="minorHAnsi"/>
        </w:rPr>
        <w:t>Documenter la justification des hypothèses utilisées et leurs sources.</w:t>
      </w:r>
    </w:p>
    <w:p w14:paraId="78D5CCD6" w14:textId="77777777" w:rsidR="006702B7" w:rsidRPr="006702B7" w:rsidRDefault="006702B7" w:rsidP="006702B7">
      <w:pPr>
        <w:snapToGrid w:val="0"/>
        <w:spacing w:before="120" w:after="120"/>
        <w:rPr>
          <w:rFonts w:cstheme="minorHAnsi"/>
          <w:b/>
          <w:bCs/>
          <w:i/>
          <w:iCs/>
          <w:lang w:val="fr-FR"/>
        </w:rPr>
      </w:pPr>
      <w:r w:rsidRPr="006702B7">
        <w:rPr>
          <w:rFonts w:cstheme="minorHAnsi"/>
          <w:b/>
          <w:bCs/>
          <w:i/>
          <w:iCs/>
          <w:lang w:val="fr-FR"/>
        </w:rPr>
        <w:t>Étape 4 : Évaluation [Estimation : env. 2 jours]</w:t>
      </w:r>
    </w:p>
    <w:p w14:paraId="3D201EBC" w14:textId="77777777" w:rsidR="006702B7" w:rsidRPr="006702B7" w:rsidRDefault="006702B7" w:rsidP="006702B7">
      <w:pPr>
        <w:pStyle w:val="Paragraphedeliste"/>
        <w:numPr>
          <w:ilvl w:val="0"/>
          <w:numId w:val="30"/>
        </w:numPr>
        <w:snapToGrid w:val="0"/>
        <w:spacing w:before="120" w:after="120"/>
        <w:jc w:val="both"/>
        <w:rPr>
          <w:rFonts w:cstheme="minorHAnsi"/>
          <w:lang w:val="fr-FR"/>
        </w:rPr>
      </w:pPr>
      <w:r w:rsidRPr="006702B7">
        <w:rPr>
          <w:rFonts w:cstheme="minorHAnsi"/>
          <w:lang w:val="fr-FR"/>
        </w:rPr>
        <w:t>À l'aide de l'outil DREI LCOE, générez des mesures de performance standard pour l'analyse DREI.</w:t>
      </w:r>
    </w:p>
    <w:p w14:paraId="1447E8D8" w14:textId="77777777" w:rsidR="006702B7" w:rsidRPr="006702B7" w:rsidRDefault="006702B7" w:rsidP="006702B7">
      <w:pPr>
        <w:pStyle w:val="Paragraphedeliste"/>
        <w:numPr>
          <w:ilvl w:val="0"/>
          <w:numId w:val="30"/>
        </w:numPr>
        <w:snapToGrid w:val="0"/>
        <w:spacing w:before="120" w:after="120"/>
        <w:jc w:val="both"/>
        <w:rPr>
          <w:rFonts w:cstheme="minorHAnsi"/>
          <w:lang w:val="fr-FR"/>
        </w:rPr>
      </w:pPr>
      <w:r w:rsidRPr="006702B7">
        <w:rPr>
          <w:rFonts w:cstheme="minorHAnsi"/>
          <w:lang w:val="fr-FR"/>
        </w:rPr>
        <w:t xml:space="preserve">Réaliser des analyses de sensibilité sur différents paramètres, y compris : </w:t>
      </w:r>
    </w:p>
    <w:p w14:paraId="25BC5214" w14:textId="77777777" w:rsidR="006702B7" w:rsidRPr="006702B7" w:rsidRDefault="006702B7" w:rsidP="006702B7">
      <w:pPr>
        <w:pStyle w:val="Paragraphedeliste"/>
        <w:numPr>
          <w:ilvl w:val="1"/>
          <w:numId w:val="30"/>
        </w:numPr>
        <w:snapToGrid w:val="0"/>
        <w:spacing w:before="120" w:after="120"/>
        <w:jc w:val="both"/>
        <w:rPr>
          <w:rFonts w:cstheme="minorHAnsi"/>
          <w:lang w:val="fr-FR"/>
        </w:rPr>
      </w:pPr>
      <w:r w:rsidRPr="006702B7">
        <w:rPr>
          <w:rFonts w:cstheme="minorHAnsi"/>
          <w:lang w:val="fr-FR"/>
        </w:rPr>
        <w:t xml:space="preserve">Subventions aux combustibles fossiles et importations de combustibles ; </w:t>
      </w:r>
    </w:p>
    <w:p w14:paraId="44A5982A" w14:textId="77777777" w:rsidR="006702B7" w:rsidRPr="006702B7" w:rsidRDefault="006702B7" w:rsidP="006702B7">
      <w:pPr>
        <w:pStyle w:val="Paragraphedeliste"/>
        <w:numPr>
          <w:ilvl w:val="1"/>
          <w:numId w:val="30"/>
        </w:numPr>
        <w:snapToGrid w:val="0"/>
        <w:spacing w:before="120" w:after="120"/>
        <w:jc w:val="both"/>
        <w:rPr>
          <w:rFonts w:cstheme="minorHAnsi"/>
          <w:lang w:val="fr-FR"/>
        </w:rPr>
      </w:pPr>
      <w:r w:rsidRPr="006702B7">
        <w:rPr>
          <w:rFonts w:cstheme="minorHAnsi"/>
          <w:lang w:val="fr-FR"/>
        </w:rPr>
        <w:t xml:space="preserve">Différentes approches du calcul du scenario de référence ; </w:t>
      </w:r>
    </w:p>
    <w:p w14:paraId="1FCB675D" w14:textId="77777777" w:rsidR="006702B7" w:rsidRPr="006702B7" w:rsidRDefault="006702B7" w:rsidP="006702B7">
      <w:pPr>
        <w:pStyle w:val="Paragraphedeliste"/>
        <w:numPr>
          <w:ilvl w:val="1"/>
          <w:numId w:val="30"/>
        </w:numPr>
        <w:snapToGrid w:val="0"/>
        <w:spacing w:before="120" w:after="120"/>
        <w:jc w:val="both"/>
        <w:rPr>
          <w:rFonts w:cstheme="minorHAnsi"/>
          <w:lang w:val="fr-FR"/>
        </w:rPr>
      </w:pPr>
      <w:r w:rsidRPr="006702B7">
        <w:rPr>
          <w:rFonts w:cstheme="minorHAnsi"/>
          <w:lang w:val="fr-FR"/>
        </w:rPr>
        <w:t>Les hypothèses clés (par exemple : le coût du combustible, les facteurs de capacité, les coûts d'investissement, les coûts d'équilibrage) ;</w:t>
      </w:r>
    </w:p>
    <w:p w14:paraId="59492809" w14:textId="77777777" w:rsidR="006702B7" w:rsidRPr="006702B7" w:rsidRDefault="006702B7" w:rsidP="006702B7">
      <w:pPr>
        <w:pStyle w:val="Paragraphedeliste"/>
        <w:numPr>
          <w:ilvl w:val="1"/>
          <w:numId w:val="30"/>
        </w:numPr>
        <w:snapToGrid w:val="0"/>
        <w:spacing w:before="120" w:after="120"/>
        <w:jc w:val="both"/>
        <w:rPr>
          <w:rFonts w:cstheme="minorHAnsi"/>
          <w:lang w:val="fr-FR"/>
        </w:rPr>
      </w:pPr>
      <w:r w:rsidRPr="006702B7">
        <w:rPr>
          <w:rFonts w:cstheme="minorHAnsi"/>
          <w:lang w:val="fr-FR"/>
        </w:rPr>
        <w:t xml:space="preserve">Le rapport coût-efficacité des instruments individuels, et des différents ensembles d'instruments pour identifier la combinaison la plus rentable ; </w:t>
      </w:r>
    </w:p>
    <w:p w14:paraId="6691C586" w14:textId="77777777" w:rsidR="006702B7" w:rsidRPr="006702B7" w:rsidRDefault="006702B7" w:rsidP="006702B7">
      <w:pPr>
        <w:pStyle w:val="Paragraphedeliste"/>
        <w:numPr>
          <w:ilvl w:val="1"/>
          <w:numId w:val="30"/>
        </w:numPr>
        <w:snapToGrid w:val="0"/>
        <w:spacing w:before="120" w:after="120"/>
        <w:jc w:val="both"/>
        <w:rPr>
          <w:rFonts w:cstheme="minorHAnsi"/>
          <w:lang w:val="fr-FR"/>
        </w:rPr>
      </w:pPr>
      <w:r w:rsidRPr="006702B7">
        <w:rPr>
          <w:rFonts w:cstheme="minorHAnsi"/>
          <w:lang w:val="fr-FR"/>
        </w:rPr>
        <w:t>Différentes approches pour évaluer le coût des instruments financiers.</w:t>
      </w:r>
    </w:p>
    <w:p w14:paraId="015380DF" w14:textId="77777777" w:rsidR="006702B7" w:rsidRPr="00153E1E" w:rsidRDefault="006702B7" w:rsidP="006702B7">
      <w:pPr>
        <w:snapToGrid w:val="0"/>
        <w:spacing w:before="120" w:after="120"/>
        <w:rPr>
          <w:rFonts w:cstheme="minorHAnsi"/>
          <w:b/>
          <w:bCs/>
        </w:rPr>
      </w:pPr>
      <w:r w:rsidRPr="00153E1E">
        <w:rPr>
          <w:rFonts w:cstheme="minorHAnsi"/>
          <w:b/>
          <w:bCs/>
        </w:rPr>
        <w:t xml:space="preserve">Activités transverses: </w:t>
      </w:r>
    </w:p>
    <w:p w14:paraId="7B83A0A8" w14:textId="77777777" w:rsidR="006702B7" w:rsidRPr="006702B7" w:rsidRDefault="006702B7" w:rsidP="006702B7">
      <w:pPr>
        <w:pStyle w:val="Paragraphedeliste"/>
        <w:numPr>
          <w:ilvl w:val="0"/>
          <w:numId w:val="30"/>
        </w:numPr>
        <w:snapToGrid w:val="0"/>
        <w:spacing w:before="120" w:after="120"/>
        <w:jc w:val="both"/>
        <w:rPr>
          <w:rFonts w:cstheme="minorHAnsi"/>
          <w:lang w:val="fr-FR"/>
        </w:rPr>
      </w:pPr>
      <w:r w:rsidRPr="006702B7">
        <w:rPr>
          <w:rFonts w:cstheme="minorHAnsi"/>
          <w:lang w:val="fr-FR"/>
        </w:rPr>
        <w:t xml:space="preserve">Remplir, mettre à jour régulièrement et partager un livre des hypothèses. Le livre des hypothèses rassemblera et résumera les données, informations et hypothèses clés à utiliser dans l'analyse et le rapport DREI. Le livre des hypothèses est un moyen efficace de partager ces données et de les commenter au sein de l'équipe. </w:t>
      </w:r>
    </w:p>
    <w:p w14:paraId="03B74F56" w14:textId="77777777" w:rsidR="006702B7" w:rsidRPr="006702B7" w:rsidRDefault="006702B7" w:rsidP="006702B7">
      <w:pPr>
        <w:pStyle w:val="Paragraphedeliste"/>
        <w:numPr>
          <w:ilvl w:val="0"/>
          <w:numId w:val="30"/>
        </w:numPr>
        <w:snapToGrid w:val="0"/>
        <w:spacing w:before="120" w:after="120"/>
        <w:jc w:val="both"/>
        <w:rPr>
          <w:rFonts w:cstheme="minorHAnsi"/>
          <w:lang w:val="fr-FR"/>
        </w:rPr>
      </w:pPr>
      <w:r w:rsidRPr="006702B7">
        <w:rPr>
          <w:rFonts w:cstheme="minorHAnsi"/>
          <w:lang w:val="fr-FR"/>
        </w:rPr>
        <w:t xml:space="preserve">A intervalles réguliers au cours de la consultation, fournir un retour d'information et des suggestions au PNUD concernant la méthodologie et la fonctionnalité des outils DREI, y compris toute recommandation concernant leur amélioration. Il est attendu que la consultation s'engage activement dans le développement et l'amélioration des méthodologies DREI. </w:t>
      </w:r>
    </w:p>
    <w:p w14:paraId="2A6B5077" w14:textId="77777777" w:rsidR="006702B7" w:rsidRPr="00153E1E" w:rsidRDefault="006702B7" w:rsidP="006702B7">
      <w:pPr>
        <w:snapToGrid w:val="0"/>
        <w:spacing w:before="120" w:after="120"/>
        <w:rPr>
          <w:rFonts w:cstheme="minorHAnsi"/>
          <w:b/>
          <w:bCs/>
        </w:rPr>
      </w:pPr>
      <w:r w:rsidRPr="00153E1E">
        <w:rPr>
          <w:rFonts w:cstheme="minorHAnsi"/>
          <w:b/>
          <w:bCs/>
        </w:rPr>
        <w:t>Résultats finaux :</w:t>
      </w:r>
    </w:p>
    <w:p w14:paraId="71FA9DE0" w14:textId="77777777" w:rsidR="006702B7" w:rsidRPr="006702B7" w:rsidRDefault="006702B7" w:rsidP="006702B7">
      <w:pPr>
        <w:pStyle w:val="Paragraphedeliste"/>
        <w:numPr>
          <w:ilvl w:val="0"/>
          <w:numId w:val="31"/>
        </w:numPr>
        <w:snapToGrid w:val="0"/>
        <w:spacing w:before="120" w:after="120"/>
        <w:jc w:val="both"/>
        <w:rPr>
          <w:rFonts w:cstheme="minorHAnsi"/>
          <w:lang w:val="fr-FR"/>
        </w:rPr>
      </w:pPr>
      <w:r w:rsidRPr="006702B7">
        <w:rPr>
          <w:rFonts w:cstheme="minorHAnsi"/>
          <w:lang w:val="fr-FR"/>
        </w:rPr>
        <w:t>Outil de coût de financement DREI complété, y compris les données des entretiens (quantitatifs et qualitatifs) ;</w:t>
      </w:r>
    </w:p>
    <w:p w14:paraId="36878081" w14:textId="77777777" w:rsidR="006702B7" w:rsidRPr="00153E1E" w:rsidRDefault="006702B7" w:rsidP="006702B7">
      <w:pPr>
        <w:pStyle w:val="Paragraphedeliste"/>
        <w:numPr>
          <w:ilvl w:val="0"/>
          <w:numId w:val="31"/>
        </w:numPr>
        <w:snapToGrid w:val="0"/>
        <w:spacing w:before="120" w:after="120"/>
        <w:jc w:val="both"/>
        <w:rPr>
          <w:rFonts w:cstheme="minorHAnsi"/>
        </w:rPr>
      </w:pPr>
      <w:r w:rsidRPr="00153E1E">
        <w:rPr>
          <w:rFonts w:cstheme="minorHAnsi"/>
        </w:rPr>
        <w:t>Outil DREI LCOE terminé ;</w:t>
      </w:r>
    </w:p>
    <w:p w14:paraId="07599E86" w14:textId="77777777" w:rsidR="006702B7" w:rsidRPr="006702B7" w:rsidRDefault="006702B7" w:rsidP="006702B7">
      <w:pPr>
        <w:pStyle w:val="Paragraphedeliste"/>
        <w:numPr>
          <w:ilvl w:val="0"/>
          <w:numId w:val="31"/>
        </w:numPr>
        <w:snapToGrid w:val="0"/>
        <w:spacing w:before="120" w:after="120"/>
        <w:jc w:val="both"/>
        <w:rPr>
          <w:rFonts w:cstheme="minorHAnsi"/>
          <w:lang w:val="fr-FR"/>
        </w:rPr>
      </w:pPr>
      <w:r w:rsidRPr="006702B7">
        <w:rPr>
          <w:rFonts w:cstheme="minorHAnsi"/>
          <w:lang w:val="fr-FR"/>
        </w:rPr>
        <w:t>Outil de calcul des coûts des instruments publics DREI achevé ;</w:t>
      </w:r>
    </w:p>
    <w:p w14:paraId="14231D00" w14:textId="77777777" w:rsidR="006702B7" w:rsidRPr="006702B7" w:rsidRDefault="006702B7" w:rsidP="006702B7">
      <w:pPr>
        <w:pStyle w:val="Paragraphedeliste"/>
        <w:numPr>
          <w:ilvl w:val="0"/>
          <w:numId w:val="31"/>
        </w:numPr>
        <w:snapToGrid w:val="0"/>
        <w:spacing w:before="120" w:after="120"/>
        <w:jc w:val="both"/>
        <w:rPr>
          <w:rFonts w:cstheme="minorHAnsi"/>
          <w:lang w:val="fr-FR"/>
        </w:rPr>
      </w:pPr>
      <w:r w:rsidRPr="006702B7">
        <w:rPr>
          <w:rFonts w:cstheme="minorHAnsi"/>
          <w:lang w:val="fr-FR"/>
        </w:rPr>
        <w:t>Livre d'hypothèses complété, résumant le raisonnement et les sources des données et des hypothèses ;</w:t>
      </w:r>
    </w:p>
    <w:p w14:paraId="221C43D2" w14:textId="77777777" w:rsidR="006702B7" w:rsidRPr="006702B7" w:rsidRDefault="006702B7" w:rsidP="006702B7">
      <w:pPr>
        <w:pStyle w:val="Paragraphedeliste"/>
        <w:numPr>
          <w:ilvl w:val="0"/>
          <w:numId w:val="31"/>
        </w:numPr>
        <w:snapToGrid w:val="0"/>
        <w:spacing w:before="120" w:after="120"/>
        <w:jc w:val="both"/>
        <w:rPr>
          <w:rFonts w:cstheme="minorHAnsi"/>
          <w:lang w:val="fr-FR"/>
        </w:rPr>
      </w:pPr>
      <w:r w:rsidRPr="006702B7">
        <w:rPr>
          <w:rFonts w:cstheme="minorHAnsi"/>
          <w:lang w:val="fr-FR"/>
        </w:rPr>
        <w:t>Diapositives PowerPoint présentant un résumé des résultats, y compris les points à retenir de l'analyse DREI.</w:t>
      </w:r>
    </w:p>
    <w:p w14:paraId="31629952" w14:textId="77777777" w:rsidR="006702B7" w:rsidRPr="006702B7" w:rsidRDefault="006702B7" w:rsidP="006702B7">
      <w:pPr>
        <w:snapToGrid w:val="0"/>
        <w:spacing w:before="120" w:after="120"/>
        <w:jc w:val="both"/>
        <w:rPr>
          <w:rFonts w:cstheme="minorHAnsi"/>
          <w:lang w:val="fr-FR"/>
        </w:rPr>
      </w:pPr>
      <w:r w:rsidRPr="006702B7">
        <w:rPr>
          <w:rFonts w:cstheme="minorHAnsi"/>
          <w:lang w:val="fr-FR"/>
        </w:rPr>
        <w:t>Les versions préliminaires des conclusions de l'analyse DREI seront communiquées au PNUD pour revue et commentaires.</w:t>
      </w:r>
    </w:p>
    <w:p w14:paraId="2EA0A3F3" w14:textId="77777777" w:rsidR="006702B7" w:rsidRPr="006702B7" w:rsidRDefault="006702B7" w:rsidP="006702B7">
      <w:pPr>
        <w:shd w:val="clear" w:color="auto" w:fill="D9E2F3" w:themeFill="accent1" w:themeFillTint="33"/>
        <w:snapToGrid w:val="0"/>
        <w:spacing w:before="120" w:after="120"/>
        <w:rPr>
          <w:rFonts w:cstheme="minorHAnsi"/>
          <w:b/>
          <w:bCs/>
          <w:lang w:val="fr-FR"/>
        </w:rPr>
      </w:pPr>
      <w:r w:rsidRPr="006702B7">
        <w:rPr>
          <w:rFonts w:cstheme="minorHAnsi"/>
          <w:b/>
          <w:bCs/>
          <w:lang w:val="fr-FR"/>
        </w:rPr>
        <w:t>Activité 2 : Préparation du rapport DREI sur les mini-réseaux solaires photovoltaïques [Estimation : env. 20 jours]</w:t>
      </w:r>
    </w:p>
    <w:p w14:paraId="63BE6DDA" w14:textId="77777777" w:rsidR="006702B7" w:rsidRPr="006702B7" w:rsidRDefault="006702B7" w:rsidP="006702B7">
      <w:pPr>
        <w:pStyle w:val="Paragraphedeliste"/>
        <w:numPr>
          <w:ilvl w:val="0"/>
          <w:numId w:val="33"/>
        </w:numPr>
        <w:snapToGrid w:val="0"/>
        <w:spacing w:before="120" w:after="120"/>
        <w:jc w:val="both"/>
        <w:rPr>
          <w:rFonts w:cstheme="minorHAnsi"/>
          <w:lang w:val="fr-FR"/>
        </w:rPr>
      </w:pPr>
      <w:r w:rsidRPr="006702B7">
        <w:rPr>
          <w:rFonts w:cstheme="minorHAnsi"/>
          <w:lang w:val="fr-FR"/>
        </w:rPr>
        <w:lastRenderedPageBreak/>
        <w:t>Rédiger un rapport dans Microsoft Word exposant les résultats quantitatifs et qualitatifs de l'analyse DREI sur les mini-réseaux solaires photovoltaïques au Tchad. Le rapport peut reproduire la structure de base des rapports DREI avec les sections suivantes : avant-propos ; points clés pour les décideurs ; résumé ; introduction ; aperçu de la méthodologie DREI ; état actuel des mini-réseaux photovoltaïques ; modélisation des résultats ; conclusions et prochaines étapes ; annexe méthodologique ; annexe de références. Préparer les figures dans Excel ou PowerPoint pour les utiliser dans le rapport. Apporter les modifications nécessaires au rapport en fonction des commentaires du PNUD.</w:t>
      </w:r>
    </w:p>
    <w:p w14:paraId="1B893677" w14:textId="77777777" w:rsidR="006702B7" w:rsidRPr="006702B7" w:rsidRDefault="006702B7" w:rsidP="006702B7">
      <w:pPr>
        <w:pStyle w:val="Paragraphedeliste"/>
        <w:numPr>
          <w:ilvl w:val="0"/>
          <w:numId w:val="33"/>
        </w:numPr>
        <w:snapToGrid w:val="0"/>
        <w:spacing w:before="120" w:after="120"/>
        <w:jc w:val="both"/>
        <w:rPr>
          <w:rFonts w:cstheme="minorHAnsi"/>
          <w:lang w:val="fr-FR"/>
        </w:rPr>
      </w:pPr>
      <w:r w:rsidRPr="006702B7">
        <w:rPr>
          <w:rFonts w:cstheme="minorHAnsi"/>
          <w:lang w:val="fr-FR"/>
        </w:rPr>
        <w:t xml:space="preserve">Créer des versions électroniques d'un rapport de haute qualité. Le rapport se déclinera en (i) une version complète du rapport et (ii) un résumé exécutif uniquement (environ 20 pages). </w:t>
      </w:r>
    </w:p>
    <w:p w14:paraId="79FB26C7" w14:textId="77777777" w:rsidR="006702B7" w:rsidRPr="006702B7" w:rsidRDefault="006702B7" w:rsidP="006702B7">
      <w:pPr>
        <w:pStyle w:val="Paragraphedeliste"/>
        <w:numPr>
          <w:ilvl w:val="0"/>
          <w:numId w:val="33"/>
        </w:numPr>
        <w:snapToGrid w:val="0"/>
        <w:spacing w:before="120" w:after="120"/>
        <w:jc w:val="both"/>
        <w:rPr>
          <w:rFonts w:cstheme="minorHAnsi"/>
          <w:lang w:val="fr-FR"/>
        </w:rPr>
      </w:pPr>
      <w:r w:rsidRPr="006702B7">
        <w:rPr>
          <w:rFonts w:cstheme="minorHAnsi"/>
          <w:lang w:val="fr-FR"/>
        </w:rPr>
        <w:t xml:space="preserve">Examiner et superviser le travail d'un concepteur tiers qui créera des versions électroniques haut de gamme du rapport et du résumé exécutif qui pourront être soumis aux imprimeurs. Examinez le travail du concepteur (graphiques, texte, figures) pour détecter les coquilles et les erreurs. </w:t>
      </w:r>
    </w:p>
    <w:p w14:paraId="330B9F4C" w14:textId="77777777" w:rsidR="006702B7" w:rsidRPr="00153E1E" w:rsidRDefault="006702B7" w:rsidP="006702B7">
      <w:pPr>
        <w:snapToGrid w:val="0"/>
        <w:spacing w:before="120" w:after="120"/>
        <w:rPr>
          <w:rFonts w:cstheme="minorHAnsi"/>
          <w:b/>
          <w:bCs/>
        </w:rPr>
      </w:pPr>
      <w:r w:rsidRPr="00153E1E">
        <w:rPr>
          <w:rFonts w:cstheme="minorHAnsi"/>
          <w:b/>
          <w:bCs/>
        </w:rPr>
        <w:t>Résultats finaux :</w:t>
      </w:r>
    </w:p>
    <w:p w14:paraId="5FEAFBF3" w14:textId="77777777" w:rsidR="006702B7" w:rsidRPr="006702B7" w:rsidRDefault="006702B7" w:rsidP="006702B7">
      <w:pPr>
        <w:pStyle w:val="Paragraphedeliste"/>
        <w:numPr>
          <w:ilvl w:val="0"/>
          <w:numId w:val="32"/>
        </w:numPr>
        <w:snapToGrid w:val="0"/>
        <w:spacing w:before="120" w:after="120"/>
        <w:jc w:val="both"/>
        <w:rPr>
          <w:rFonts w:cstheme="minorHAnsi"/>
          <w:lang w:val="fr-FR"/>
        </w:rPr>
      </w:pPr>
      <w:r w:rsidRPr="006702B7">
        <w:rPr>
          <w:rFonts w:cstheme="minorHAnsi"/>
          <w:lang w:val="fr-FR"/>
        </w:rPr>
        <w:t>Rapport DREI complet dans Microsoft Word en français</w:t>
      </w:r>
    </w:p>
    <w:p w14:paraId="54D09535" w14:textId="77777777" w:rsidR="006702B7" w:rsidRPr="006702B7" w:rsidRDefault="006702B7" w:rsidP="006702B7">
      <w:pPr>
        <w:pStyle w:val="Paragraphedeliste"/>
        <w:numPr>
          <w:ilvl w:val="0"/>
          <w:numId w:val="32"/>
        </w:numPr>
        <w:snapToGrid w:val="0"/>
        <w:spacing w:before="120" w:after="120"/>
        <w:jc w:val="both"/>
        <w:rPr>
          <w:rFonts w:cstheme="minorHAnsi"/>
          <w:lang w:val="fr-FR"/>
        </w:rPr>
      </w:pPr>
      <w:r w:rsidRPr="006702B7">
        <w:rPr>
          <w:rFonts w:cstheme="minorHAnsi"/>
          <w:lang w:val="fr-FR"/>
        </w:rPr>
        <w:t>Résumé exécutif dans Microsoft Word en français</w:t>
      </w:r>
    </w:p>
    <w:p w14:paraId="60F8FCBA" w14:textId="77777777" w:rsidR="006702B7" w:rsidRPr="006702B7" w:rsidRDefault="006702B7" w:rsidP="006702B7">
      <w:pPr>
        <w:pStyle w:val="Paragraphedeliste"/>
        <w:numPr>
          <w:ilvl w:val="0"/>
          <w:numId w:val="32"/>
        </w:numPr>
        <w:snapToGrid w:val="0"/>
        <w:spacing w:before="120" w:after="120"/>
        <w:jc w:val="both"/>
        <w:rPr>
          <w:rFonts w:cstheme="minorHAnsi"/>
          <w:lang w:val="fr-FR"/>
        </w:rPr>
      </w:pPr>
      <w:r w:rsidRPr="006702B7">
        <w:rPr>
          <w:rFonts w:cstheme="minorHAnsi"/>
          <w:lang w:val="fr-FR"/>
        </w:rPr>
        <w:t>Annexes avec la méthodologie et les hypothèses</w:t>
      </w:r>
    </w:p>
    <w:p w14:paraId="4B0449AE" w14:textId="77777777" w:rsidR="006702B7" w:rsidRPr="006702B7" w:rsidRDefault="006702B7" w:rsidP="006702B7">
      <w:pPr>
        <w:pStyle w:val="Paragraphedeliste"/>
        <w:numPr>
          <w:ilvl w:val="0"/>
          <w:numId w:val="32"/>
        </w:numPr>
        <w:snapToGrid w:val="0"/>
        <w:spacing w:before="120" w:after="120"/>
        <w:jc w:val="both"/>
        <w:rPr>
          <w:rFonts w:cstheme="minorHAnsi"/>
          <w:lang w:val="fr-FR"/>
        </w:rPr>
      </w:pPr>
      <w:r w:rsidRPr="006702B7">
        <w:rPr>
          <w:rFonts w:cstheme="minorHAnsi"/>
          <w:lang w:val="fr-FR"/>
        </w:rPr>
        <w:t xml:space="preserve">Examen du rapport du concepteur/graphiste à soumettre aux imprimeurs. </w:t>
      </w:r>
    </w:p>
    <w:p w14:paraId="7E8B7771" w14:textId="77777777" w:rsidR="006702B7" w:rsidRPr="006702B7" w:rsidRDefault="006702B7" w:rsidP="006702B7">
      <w:pPr>
        <w:snapToGrid w:val="0"/>
        <w:spacing w:before="120" w:after="120"/>
        <w:rPr>
          <w:rFonts w:cstheme="minorHAnsi"/>
          <w:b/>
          <w:bCs/>
          <w:u w:val="single"/>
          <w:lang w:val="fr-FR"/>
        </w:rPr>
      </w:pPr>
    </w:p>
    <w:p w14:paraId="47722515" w14:textId="77777777" w:rsidR="006702B7" w:rsidRPr="006702B7" w:rsidRDefault="006702B7" w:rsidP="006702B7">
      <w:pPr>
        <w:shd w:val="clear" w:color="auto" w:fill="D9E2F3" w:themeFill="accent1" w:themeFillTint="33"/>
        <w:snapToGrid w:val="0"/>
        <w:spacing w:before="120" w:after="120"/>
        <w:rPr>
          <w:rFonts w:cstheme="minorHAnsi"/>
          <w:b/>
          <w:bCs/>
          <w:lang w:val="fr-FR"/>
        </w:rPr>
      </w:pPr>
      <w:r w:rsidRPr="006702B7">
        <w:rPr>
          <w:rFonts w:cstheme="minorHAnsi"/>
          <w:b/>
          <w:bCs/>
          <w:lang w:val="fr-FR"/>
        </w:rPr>
        <w:t>Activité 3 : Dissémination des résultats et formation des acteurs locaux [Estimation : env. 5 jours]</w:t>
      </w:r>
    </w:p>
    <w:p w14:paraId="01057A5D" w14:textId="77777777" w:rsidR="006702B7" w:rsidRPr="006702B7" w:rsidRDefault="006702B7" w:rsidP="006702B7">
      <w:pPr>
        <w:pStyle w:val="Paragraphedeliste"/>
        <w:numPr>
          <w:ilvl w:val="0"/>
          <w:numId w:val="33"/>
        </w:numPr>
        <w:snapToGrid w:val="0"/>
        <w:spacing w:before="120" w:after="120"/>
        <w:jc w:val="both"/>
        <w:rPr>
          <w:rFonts w:cstheme="minorHAnsi"/>
          <w:lang w:val="fr-FR"/>
        </w:rPr>
      </w:pPr>
      <w:r w:rsidRPr="006702B7">
        <w:rPr>
          <w:rFonts w:cstheme="minorHAnsi"/>
          <w:lang w:val="fr-FR"/>
        </w:rPr>
        <w:t>Une fois le rapport publié, partager les résultats du rapport avec les principales parties prenantes et les associer à titre de champions du rapport, en renforçant l'adhésion du pays à ce rapport.</w:t>
      </w:r>
    </w:p>
    <w:p w14:paraId="4A33EC32" w14:textId="77777777" w:rsidR="006702B7" w:rsidRPr="006702B7" w:rsidRDefault="006702B7" w:rsidP="006702B7">
      <w:pPr>
        <w:pStyle w:val="Paragraphedeliste"/>
        <w:numPr>
          <w:ilvl w:val="0"/>
          <w:numId w:val="33"/>
        </w:numPr>
        <w:snapToGrid w:val="0"/>
        <w:spacing w:before="120" w:after="120"/>
        <w:jc w:val="both"/>
        <w:rPr>
          <w:rFonts w:cstheme="minorHAnsi"/>
          <w:lang w:val="fr-FR"/>
        </w:rPr>
      </w:pPr>
      <w:r w:rsidRPr="006702B7">
        <w:rPr>
          <w:rFonts w:cstheme="minorHAnsi"/>
          <w:lang w:val="fr-FR"/>
        </w:rPr>
        <w:t>Animer un atelier national de validation et de présentation du rapport DREI (1 jour).</w:t>
      </w:r>
    </w:p>
    <w:p w14:paraId="44F90CA9" w14:textId="77777777" w:rsidR="006702B7" w:rsidRPr="006702B7" w:rsidRDefault="006702B7" w:rsidP="006702B7">
      <w:pPr>
        <w:pStyle w:val="Paragraphedeliste"/>
        <w:numPr>
          <w:ilvl w:val="0"/>
          <w:numId w:val="33"/>
        </w:numPr>
        <w:snapToGrid w:val="0"/>
        <w:spacing w:before="120" w:after="120"/>
        <w:jc w:val="both"/>
        <w:rPr>
          <w:rFonts w:cstheme="minorHAnsi"/>
          <w:lang w:val="fr-FR"/>
        </w:rPr>
      </w:pPr>
      <w:r w:rsidRPr="006702B7">
        <w:rPr>
          <w:rFonts w:cstheme="minorHAnsi"/>
          <w:lang w:val="fr-FR"/>
        </w:rPr>
        <w:t>Animer une formation des acteurs locaux sur l’application de la méthodologie DREI (2 jours).</w:t>
      </w:r>
    </w:p>
    <w:p w14:paraId="2167942D" w14:textId="77777777" w:rsidR="006702B7" w:rsidRPr="00153E1E" w:rsidRDefault="006702B7" w:rsidP="006702B7">
      <w:pPr>
        <w:snapToGrid w:val="0"/>
        <w:spacing w:before="120" w:after="120"/>
        <w:rPr>
          <w:rFonts w:cstheme="minorHAnsi"/>
          <w:b/>
          <w:bCs/>
        </w:rPr>
      </w:pPr>
      <w:r w:rsidRPr="00153E1E">
        <w:rPr>
          <w:rFonts w:cstheme="minorHAnsi"/>
          <w:b/>
          <w:bCs/>
        </w:rPr>
        <w:t>Résultats finaux :</w:t>
      </w:r>
    </w:p>
    <w:p w14:paraId="1DAC4197" w14:textId="77777777" w:rsidR="006702B7" w:rsidRPr="00153E1E" w:rsidRDefault="006702B7" w:rsidP="006702B7">
      <w:pPr>
        <w:pStyle w:val="Paragraphedeliste"/>
        <w:numPr>
          <w:ilvl w:val="0"/>
          <w:numId w:val="32"/>
        </w:numPr>
        <w:snapToGrid w:val="0"/>
        <w:spacing w:before="120" w:after="120"/>
        <w:jc w:val="both"/>
        <w:rPr>
          <w:rFonts w:cstheme="minorHAnsi"/>
        </w:rPr>
      </w:pPr>
      <w:r w:rsidRPr="00153E1E">
        <w:rPr>
          <w:rFonts w:cstheme="minorHAnsi"/>
        </w:rPr>
        <w:t>Rapport de l’atelier de restitution</w:t>
      </w:r>
    </w:p>
    <w:p w14:paraId="745CFD04" w14:textId="77777777" w:rsidR="006702B7" w:rsidRPr="00153E1E" w:rsidRDefault="006702B7" w:rsidP="006702B7">
      <w:pPr>
        <w:pStyle w:val="Paragraphedeliste"/>
        <w:numPr>
          <w:ilvl w:val="0"/>
          <w:numId w:val="32"/>
        </w:numPr>
        <w:snapToGrid w:val="0"/>
        <w:spacing w:before="120" w:after="120"/>
        <w:jc w:val="both"/>
        <w:rPr>
          <w:rFonts w:cstheme="minorHAnsi"/>
        </w:rPr>
      </w:pPr>
      <w:r w:rsidRPr="00153E1E">
        <w:rPr>
          <w:rFonts w:cstheme="minorHAnsi"/>
        </w:rPr>
        <w:t>Supports de formation</w:t>
      </w:r>
    </w:p>
    <w:p w14:paraId="2E638761" w14:textId="77777777" w:rsidR="006702B7" w:rsidRPr="00153E1E" w:rsidRDefault="006702B7" w:rsidP="006702B7">
      <w:pPr>
        <w:snapToGrid w:val="0"/>
        <w:spacing w:before="120" w:after="120"/>
        <w:jc w:val="both"/>
        <w:rPr>
          <w:rFonts w:cstheme="minorHAnsi"/>
        </w:rPr>
      </w:pPr>
    </w:p>
    <w:p w14:paraId="3B4D50B5" w14:textId="77777777" w:rsidR="006702B7" w:rsidRPr="00153E1E" w:rsidRDefault="006702B7" w:rsidP="006702B7">
      <w:pPr>
        <w:pStyle w:val="Paragraphedeliste"/>
        <w:numPr>
          <w:ilvl w:val="0"/>
          <w:numId w:val="26"/>
        </w:numPr>
        <w:snapToGrid w:val="0"/>
        <w:spacing w:before="120" w:after="120"/>
        <w:contextualSpacing w:val="0"/>
        <w:jc w:val="both"/>
        <w:rPr>
          <w:rFonts w:cstheme="minorHAnsi"/>
          <w:b/>
          <w:bCs/>
        </w:rPr>
      </w:pPr>
      <w:r w:rsidRPr="00153E1E">
        <w:rPr>
          <w:rFonts w:cstheme="minorHAnsi"/>
          <w:b/>
          <w:bCs/>
        </w:rPr>
        <w:t xml:space="preserve">Paiements au Consultant International </w:t>
      </w:r>
    </w:p>
    <w:p w14:paraId="201DF9A3" w14:textId="77777777" w:rsidR="006702B7" w:rsidRPr="00153E1E" w:rsidRDefault="006702B7" w:rsidP="006702B7">
      <w:pPr>
        <w:snapToGrid w:val="0"/>
        <w:spacing w:before="120" w:after="120"/>
        <w:rPr>
          <w:rFonts w:cstheme="minorHAnsi"/>
        </w:rPr>
      </w:pPr>
    </w:p>
    <w:tbl>
      <w:tblPr>
        <w:tblStyle w:val="Grilledutableau"/>
        <w:tblW w:w="9351" w:type="dxa"/>
        <w:tblLook w:val="04A0" w:firstRow="1" w:lastRow="0" w:firstColumn="1" w:lastColumn="0" w:noHBand="0" w:noVBand="1"/>
      </w:tblPr>
      <w:tblGrid>
        <w:gridCol w:w="1622"/>
        <w:gridCol w:w="5036"/>
        <w:gridCol w:w="1275"/>
        <w:gridCol w:w="1418"/>
      </w:tblGrid>
      <w:tr w:rsidR="006702B7" w:rsidRPr="00153E1E" w14:paraId="0870CBA8" w14:textId="77777777" w:rsidTr="008A58BB">
        <w:tc>
          <w:tcPr>
            <w:tcW w:w="1622" w:type="dxa"/>
            <w:shd w:val="pct15" w:color="auto" w:fill="auto"/>
          </w:tcPr>
          <w:p w14:paraId="38FE9970" w14:textId="77777777" w:rsidR="006702B7" w:rsidRPr="00153E1E" w:rsidRDefault="006702B7" w:rsidP="008A58BB">
            <w:pPr>
              <w:snapToGrid w:val="0"/>
              <w:spacing w:before="120" w:after="120"/>
              <w:jc w:val="center"/>
              <w:rPr>
                <w:rFonts w:cstheme="minorHAnsi"/>
                <w:b/>
                <w:bCs/>
                <w:sz w:val="22"/>
                <w:szCs w:val="22"/>
              </w:rPr>
            </w:pPr>
            <w:r w:rsidRPr="00153E1E">
              <w:rPr>
                <w:rFonts w:cstheme="minorHAnsi"/>
                <w:b/>
                <w:bCs/>
                <w:sz w:val="22"/>
                <w:szCs w:val="22"/>
              </w:rPr>
              <w:t>Activités</w:t>
            </w:r>
          </w:p>
        </w:tc>
        <w:tc>
          <w:tcPr>
            <w:tcW w:w="5036" w:type="dxa"/>
            <w:shd w:val="pct15" w:color="auto" w:fill="auto"/>
          </w:tcPr>
          <w:p w14:paraId="1A513282" w14:textId="77777777" w:rsidR="006702B7" w:rsidRPr="00153E1E" w:rsidRDefault="006702B7" w:rsidP="008A58BB">
            <w:pPr>
              <w:snapToGrid w:val="0"/>
              <w:spacing w:before="120" w:after="120"/>
              <w:jc w:val="center"/>
              <w:rPr>
                <w:rFonts w:cstheme="minorHAnsi"/>
                <w:b/>
                <w:bCs/>
                <w:sz w:val="22"/>
                <w:szCs w:val="22"/>
              </w:rPr>
            </w:pPr>
            <w:r w:rsidRPr="00153E1E">
              <w:rPr>
                <w:rFonts w:cstheme="minorHAnsi"/>
                <w:b/>
                <w:bCs/>
                <w:sz w:val="22"/>
                <w:szCs w:val="22"/>
              </w:rPr>
              <w:t>LIVRABLES</w:t>
            </w:r>
          </w:p>
        </w:tc>
        <w:tc>
          <w:tcPr>
            <w:tcW w:w="1275" w:type="dxa"/>
            <w:shd w:val="pct15" w:color="auto" w:fill="auto"/>
          </w:tcPr>
          <w:p w14:paraId="380B7061" w14:textId="77777777" w:rsidR="006702B7" w:rsidRPr="00153E1E" w:rsidRDefault="006702B7" w:rsidP="008A58BB">
            <w:pPr>
              <w:snapToGrid w:val="0"/>
              <w:spacing w:before="120" w:after="120"/>
              <w:jc w:val="center"/>
              <w:rPr>
                <w:rFonts w:cstheme="minorHAnsi"/>
                <w:b/>
                <w:bCs/>
                <w:sz w:val="22"/>
                <w:szCs w:val="22"/>
              </w:rPr>
            </w:pPr>
            <w:r w:rsidRPr="00153E1E">
              <w:rPr>
                <w:rFonts w:cstheme="minorHAnsi"/>
                <w:b/>
                <w:bCs/>
                <w:sz w:val="22"/>
                <w:szCs w:val="22"/>
              </w:rPr>
              <w:t>Échéance</w:t>
            </w:r>
          </w:p>
        </w:tc>
        <w:tc>
          <w:tcPr>
            <w:tcW w:w="1418" w:type="dxa"/>
            <w:shd w:val="pct15" w:color="auto" w:fill="auto"/>
          </w:tcPr>
          <w:p w14:paraId="29E31A32" w14:textId="77777777" w:rsidR="006702B7" w:rsidRPr="00153E1E" w:rsidRDefault="006702B7" w:rsidP="008A58BB">
            <w:pPr>
              <w:snapToGrid w:val="0"/>
              <w:spacing w:before="120" w:after="120"/>
              <w:jc w:val="center"/>
              <w:rPr>
                <w:rFonts w:cstheme="minorHAnsi"/>
                <w:b/>
                <w:bCs/>
                <w:sz w:val="22"/>
                <w:szCs w:val="22"/>
              </w:rPr>
            </w:pPr>
            <w:r w:rsidRPr="00153E1E">
              <w:rPr>
                <w:rFonts w:cstheme="minorHAnsi"/>
                <w:b/>
                <w:bCs/>
                <w:sz w:val="22"/>
                <w:szCs w:val="22"/>
              </w:rPr>
              <w:t>Montant</w:t>
            </w:r>
          </w:p>
        </w:tc>
      </w:tr>
      <w:tr w:rsidR="006702B7" w:rsidRPr="00153E1E" w14:paraId="489D33B0" w14:textId="77777777" w:rsidTr="008A58BB">
        <w:tc>
          <w:tcPr>
            <w:tcW w:w="1622" w:type="dxa"/>
            <w:vMerge w:val="restart"/>
          </w:tcPr>
          <w:p w14:paraId="6A419730" w14:textId="77777777" w:rsidR="006702B7" w:rsidRPr="00153E1E" w:rsidRDefault="006702B7" w:rsidP="008A58BB">
            <w:pPr>
              <w:snapToGrid w:val="0"/>
              <w:spacing w:before="120" w:after="120"/>
              <w:rPr>
                <w:rFonts w:cstheme="minorHAnsi"/>
                <w:sz w:val="22"/>
                <w:szCs w:val="22"/>
              </w:rPr>
            </w:pPr>
            <w:r w:rsidRPr="00153E1E">
              <w:rPr>
                <w:rFonts w:cstheme="minorHAnsi"/>
                <w:sz w:val="22"/>
                <w:szCs w:val="22"/>
              </w:rPr>
              <w:t>Activité 1</w:t>
            </w:r>
          </w:p>
        </w:tc>
        <w:tc>
          <w:tcPr>
            <w:tcW w:w="5036" w:type="dxa"/>
          </w:tcPr>
          <w:p w14:paraId="7151FE40" w14:textId="77777777" w:rsidR="006702B7" w:rsidRPr="006702B7" w:rsidRDefault="006702B7" w:rsidP="008A58BB">
            <w:pPr>
              <w:snapToGrid w:val="0"/>
              <w:spacing w:before="120" w:after="120"/>
              <w:rPr>
                <w:rFonts w:cstheme="minorHAnsi"/>
                <w:sz w:val="22"/>
                <w:szCs w:val="22"/>
                <w:lang w:val="fr-FR"/>
              </w:rPr>
            </w:pPr>
            <w:r w:rsidRPr="006702B7">
              <w:rPr>
                <w:rFonts w:cstheme="minorHAnsi"/>
                <w:sz w:val="22"/>
                <w:szCs w:val="22"/>
                <w:lang w:val="fr-FR"/>
              </w:rPr>
              <w:t>Plan de travail détaillé approuvé</w:t>
            </w:r>
          </w:p>
        </w:tc>
        <w:tc>
          <w:tcPr>
            <w:tcW w:w="1275" w:type="dxa"/>
          </w:tcPr>
          <w:p w14:paraId="7193DA14" w14:textId="77777777" w:rsidR="006702B7" w:rsidRPr="006702B7" w:rsidRDefault="006702B7" w:rsidP="008A58BB">
            <w:pPr>
              <w:snapToGrid w:val="0"/>
              <w:spacing w:before="120" w:after="120"/>
              <w:rPr>
                <w:rFonts w:cstheme="minorHAnsi"/>
                <w:sz w:val="22"/>
                <w:szCs w:val="22"/>
                <w:lang w:val="fr-FR"/>
              </w:rPr>
            </w:pPr>
            <w:r w:rsidRPr="006702B7">
              <w:rPr>
                <w:rFonts w:cstheme="minorHAnsi"/>
                <w:sz w:val="22"/>
                <w:szCs w:val="22"/>
                <w:lang w:val="fr-FR"/>
              </w:rPr>
              <w:t>1 semaine après début du contrat</w:t>
            </w:r>
          </w:p>
        </w:tc>
        <w:tc>
          <w:tcPr>
            <w:tcW w:w="1418" w:type="dxa"/>
          </w:tcPr>
          <w:p w14:paraId="502222C8" w14:textId="77777777" w:rsidR="006702B7" w:rsidRPr="00153E1E" w:rsidRDefault="006702B7" w:rsidP="008A58BB">
            <w:pPr>
              <w:snapToGrid w:val="0"/>
              <w:spacing w:before="120" w:after="120"/>
              <w:jc w:val="center"/>
              <w:rPr>
                <w:rFonts w:cstheme="minorHAnsi"/>
                <w:sz w:val="22"/>
                <w:szCs w:val="22"/>
              </w:rPr>
            </w:pPr>
            <w:r w:rsidRPr="00153E1E">
              <w:rPr>
                <w:rFonts w:cstheme="minorHAnsi"/>
                <w:sz w:val="22"/>
                <w:szCs w:val="22"/>
              </w:rPr>
              <w:t>5%</w:t>
            </w:r>
          </w:p>
        </w:tc>
      </w:tr>
      <w:tr w:rsidR="006702B7" w:rsidRPr="00153E1E" w14:paraId="27368199" w14:textId="77777777" w:rsidTr="008A58BB">
        <w:tc>
          <w:tcPr>
            <w:tcW w:w="1622" w:type="dxa"/>
            <w:vMerge/>
          </w:tcPr>
          <w:p w14:paraId="51D4C964" w14:textId="77777777" w:rsidR="006702B7" w:rsidRPr="00153E1E" w:rsidRDefault="006702B7" w:rsidP="008A58BB">
            <w:pPr>
              <w:snapToGrid w:val="0"/>
              <w:spacing w:before="120" w:after="120"/>
              <w:rPr>
                <w:rFonts w:cstheme="minorHAnsi"/>
                <w:sz w:val="22"/>
                <w:szCs w:val="22"/>
              </w:rPr>
            </w:pPr>
          </w:p>
        </w:tc>
        <w:tc>
          <w:tcPr>
            <w:tcW w:w="5036" w:type="dxa"/>
            <w:shd w:val="clear" w:color="auto" w:fill="auto"/>
          </w:tcPr>
          <w:p w14:paraId="6B3EF517" w14:textId="77777777" w:rsidR="006702B7" w:rsidRPr="00153E1E" w:rsidRDefault="006702B7" w:rsidP="008A58BB">
            <w:pPr>
              <w:snapToGrid w:val="0"/>
              <w:spacing w:before="120" w:after="120"/>
              <w:rPr>
                <w:rFonts w:cstheme="minorHAnsi"/>
                <w:sz w:val="22"/>
                <w:szCs w:val="22"/>
              </w:rPr>
            </w:pPr>
            <w:r w:rsidRPr="006702B7">
              <w:rPr>
                <w:rFonts w:cstheme="minorHAnsi"/>
                <w:sz w:val="22"/>
                <w:szCs w:val="22"/>
                <w:lang w:val="fr-FR"/>
              </w:rPr>
              <w:t xml:space="preserve">Collecte de données auprès des institutions et acteurs du secteur de l’énergie et analyse des risques liés aux investissements privés dans le secteur des mini réseaux solaires. </w:t>
            </w:r>
            <w:r w:rsidRPr="00153E1E">
              <w:rPr>
                <w:rFonts w:cstheme="minorHAnsi"/>
                <w:sz w:val="22"/>
                <w:szCs w:val="22"/>
              </w:rPr>
              <w:t xml:space="preserve">Rapport résumé des activités menées. </w:t>
            </w:r>
          </w:p>
        </w:tc>
        <w:tc>
          <w:tcPr>
            <w:tcW w:w="1275" w:type="dxa"/>
          </w:tcPr>
          <w:p w14:paraId="694D658B" w14:textId="77777777" w:rsidR="006702B7" w:rsidRPr="006702B7" w:rsidRDefault="006702B7" w:rsidP="008A58BB">
            <w:pPr>
              <w:snapToGrid w:val="0"/>
              <w:spacing w:before="120" w:after="120"/>
              <w:rPr>
                <w:rFonts w:cstheme="minorHAnsi"/>
                <w:sz w:val="22"/>
                <w:szCs w:val="22"/>
                <w:lang w:val="fr-FR"/>
              </w:rPr>
            </w:pPr>
            <w:r w:rsidRPr="006702B7">
              <w:rPr>
                <w:rFonts w:cstheme="minorHAnsi"/>
                <w:sz w:val="22"/>
                <w:szCs w:val="22"/>
                <w:lang w:val="fr-FR"/>
              </w:rPr>
              <w:t>5 semaines après signature du contrat</w:t>
            </w:r>
          </w:p>
        </w:tc>
        <w:tc>
          <w:tcPr>
            <w:tcW w:w="1418" w:type="dxa"/>
          </w:tcPr>
          <w:p w14:paraId="593D7ECE" w14:textId="77777777" w:rsidR="006702B7" w:rsidRPr="00153E1E" w:rsidRDefault="006702B7" w:rsidP="008A58BB">
            <w:pPr>
              <w:snapToGrid w:val="0"/>
              <w:spacing w:before="120" w:after="120"/>
              <w:jc w:val="center"/>
              <w:rPr>
                <w:rFonts w:cstheme="minorHAnsi"/>
                <w:sz w:val="22"/>
                <w:szCs w:val="22"/>
              </w:rPr>
            </w:pPr>
            <w:r w:rsidRPr="00153E1E">
              <w:rPr>
                <w:rFonts w:cstheme="minorHAnsi"/>
                <w:sz w:val="22"/>
                <w:szCs w:val="22"/>
              </w:rPr>
              <w:t>15%</w:t>
            </w:r>
          </w:p>
        </w:tc>
      </w:tr>
      <w:tr w:rsidR="006702B7" w:rsidRPr="00153E1E" w14:paraId="3E007884" w14:textId="77777777" w:rsidTr="008A58BB">
        <w:tc>
          <w:tcPr>
            <w:tcW w:w="1622" w:type="dxa"/>
            <w:vMerge/>
          </w:tcPr>
          <w:p w14:paraId="71169F79" w14:textId="77777777" w:rsidR="006702B7" w:rsidRPr="00153E1E" w:rsidRDefault="006702B7" w:rsidP="008A58BB">
            <w:pPr>
              <w:snapToGrid w:val="0"/>
              <w:spacing w:before="120" w:after="120"/>
              <w:rPr>
                <w:rFonts w:cstheme="minorHAnsi"/>
                <w:sz w:val="22"/>
                <w:szCs w:val="22"/>
              </w:rPr>
            </w:pPr>
          </w:p>
        </w:tc>
        <w:tc>
          <w:tcPr>
            <w:tcW w:w="5036" w:type="dxa"/>
            <w:shd w:val="clear" w:color="auto" w:fill="auto"/>
          </w:tcPr>
          <w:p w14:paraId="0BF0DD72" w14:textId="77777777" w:rsidR="006702B7" w:rsidRPr="006702B7" w:rsidRDefault="006702B7" w:rsidP="008A58BB">
            <w:pPr>
              <w:snapToGrid w:val="0"/>
              <w:spacing w:before="120" w:after="120"/>
              <w:rPr>
                <w:rFonts w:cstheme="minorHAnsi"/>
                <w:sz w:val="22"/>
                <w:szCs w:val="22"/>
                <w:lang w:val="fr-FR"/>
              </w:rPr>
            </w:pPr>
            <w:r w:rsidRPr="006702B7">
              <w:rPr>
                <w:rFonts w:cstheme="minorHAnsi"/>
                <w:sz w:val="22"/>
                <w:szCs w:val="22"/>
                <w:lang w:val="fr-FR"/>
              </w:rPr>
              <w:t>Résumé des conclusions de l’analyse DREI, ainsi que des outils financiers associés (outil de coût de financement, outil de coût des instruments publics, outil LCOE) et des documents d’hypothèses.</w:t>
            </w:r>
          </w:p>
        </w:tc>
        <w:tc>
          <w:tcPr>
            <w:tcW w:w="1275" w:type="dxa"/>
          </w:tcPr>
          <w:p w14:paraId="326C14E3" w14:textId="77777777" w:rsidR="006702B7" w:rsidRPr="006702B7" w:rsidRDefault="006702B7" w:rsidP="008A58BB">
            <w:pPr>
              <w:snapToGrid w:val="0"/>
              <w:spacing w:before="120" w:after="120"/>
              <w:rPr>
                <w:rFonts w:cstheme="minorHAnsi"/>
                <w:sz w:val="22"/>
                <w:szCs w:val="22"/>
                <w:lang w:val="fr-FR"/>
              </w:rPr>
            </w:pPr>
            <w:r w:rsidRPr="006702B7">
              <w:rPr>
                <w:rFonts w:cstheme="minorHAnsi"/>
                <w:sz w:val="22"/>
                <w:szCs w:val="22"/>
                <w:lang w:val="fr-FR"/>
              </w:rPr>
              <w:t>9 semaines après signature du contrat</w:t>
            </w:r>
          </w:p>
        </w:tc>
        <w:tc>
          <w:tcPr>
            <w:tcW w:w="1418" w:type="dxa"/>
          </w:tcPr>
          <w:p w14:paraId="776A2453" w14:textId="77777777" w:rsidR="006702B7" w:rsidRPr="00153E1E" w:rsidRDefault="006702B7" w:rsidP="008A58BB">
            <w:pPr>
              <w:snapToGrid w:val="0"/>
              <w:spacing w:before="120" w:after="120"/>
              <w:jc w:val="center"/>
              <w:rPr>
                <w:rFonts w:cstheme="minorHAnsi"/>
                <w:sz w:val="22"/>
                <w:szCs w:val="22"/>
              </w:rPr>
            </w:pPr>
            <w:r w:rsidRPr="00153E1E">
              <w:rPr>
                <w:rFonts w:cstheme="minorHAnsi"/>
                <w:sz w:val="22"/>
                <w:szCs w:val="22"/>
              </w:rPr>
              <w:t>30%</w:t>
            </w:r>
          </w:p>
        </w:tc>
      </w:tr>
      <w:tr w:rsidR="006702B7" w:rsidRPr="00153E1E" w14:paraId="0D66DD68" w14:textId="77777777" w:rsidTr="008A58BB">
        <w:tc>
          <w:tcPr>
            <w:tcW w:w="1622" w:type="dxa"/>
            <w:vMerge w:val="restart"/>
          </w:tcPr>
          <w:p w14:paraId="331C3D3D" w14:textId="77777777" w:rsidR="006702B7" w:rsidRPr="00153E1E" w:rsidRDefault="006702B7" w:rsidP="008A58BB">
            <w:pPr>
              <w:snapToGrid w:val="0"/>
              <w:spacing w:before="120" w:after="120"/>
              <w:rPr>
                <w:rFonts w:cstheme="minorHAnsi"/>
                <w:sz w:val="22"/>
                <w:szCs w:val="22"/>
              </w:rPr>
            </w:pPr>
            <w:r w:rsidRPr="00153E1E">
              <w:rPr>
                <w:rFonts w:cstheme="minorHAnsi"/>
                <w:sz w:val="22"/>
                <w:szCs w:val="22"/>
              </w:rPr>
              <w:t>Activité 2</w:t>
            </w:r>
          </w:p>
        </w:tc>
        <w:tc>
          <w:tcPr>
            <w:tcW w:w="5036" w:type="dxa"/>
            <w:shd w:val="clear" w:color="auto" w:fill="auto"/>
          </w:tcPr>
          <w:p w14:paraId="5D662C78" w14:textId="77777777" w:rsidR="006702B7" w:rsidRPr="006702B7" w:rsidRDefault="006702B7" w:rsidP="008A58BB">
            <w:pPr>
              <w:snapToGrid w:val="0"/>
              <w:spacing w:before="120" w:after="120"/>
              <w:rPr>
                <w:rFonts w:cstheme="minorHAnsi"/>
                <w:sz w:val="22"/>
                <w:szCs w:val="22"/>
                <w:lang w:val="fr-FR"/>
              </w:rPr>
            </w:pPr>
            <w:r w:rsidRPr="006702B7">
              <w:rPr>
                <w:rFonts w:cstheme="minorHAnsi"/>
                <w:sz w:val="22"/>
                <w:szCs w:val="22"/>
                <w:lang w:val="fr-FR"/>
              </w:rPr>
              <w:t>Projet de rapport DREI en version Microsoft Word en français</w:t>
            </w:r>
            <w:r w:rsidRPr="006702B7" w:rsidDel="00C60C45">
              <w:rPr>
                <w:rFonts w:cstheme="minorHAnsi"/>
                <w:sz w:val="22"/>
                <w:szCs w:val="22"/>
                <w:lang w:val="fr-FR"/>
              </w:rPr>
              <w:t xml:space="preserve"> </w:t>
            </w:r>
          </w:p>
        </w:tc>
        <w:tc>
          <w:tcPr>
            <w:tcW w:w="1275" w:type="dxa"/>
          </w:tcPr>
          <w:p w14:paraId="33C4D33B" w14:textId="77777777" w:rsidR="006702B7" w:rsidRPr="006702B7" w:rsidRDefault="006702B7" w:rsidP="008A58BB">
            <w:pPr>
              <w:snapToGrid w:val="0"/>
              <w:spacing w:before="120" w:after="120"/>
              <w:rPr>
                <w:rFonts w:cstheme="minorHAnsi"/>
                <w:sz w:val="22"/>
                <w:szCs w:val="22"/>
                <w:lang w:val="fr-FR"/>
              </w:rPr>
            </w:pPr>
            <w:r w:rsidRPr="006702B7">
              <w:rPr>
                <w:rFonts w:cstheme="minorHAnsi"/>
                <w:sz w:val="22"/>
                <w:szCs w:val="22"/>
                <w:lang w:val="fr-FR"/>
              </w:rPr>
              <w:t>12 semaines après signature du contrat</w:t>
            </w:r>
          </w:p>
        </w:tc>
        <w:tc>
          <w:tcPr>
            <w:tcW w:w="1418" w:type="dxa"/>
          </w:tcPr>
          <w:p w14:paraId="20E85DE5" w14:textId="77777777" w:rsidR="006702B7" w:rsidRPr="00153E1E" w:rsidRDefault="006702B7" w:rsidP="008A58BB">
            <w:pPr>
              <w:snapToGrid w:val="0"/>
              <w:spacing w:before="120" w:after="120"/>
              <w:jc w:val="center"/>
              <w:rPr>
                <w:rFonts w:cstheme="minorHAnsi"/>
                <w:sz w:val="22"/>
                <w:szCs w:val="22"/>
              </w:rPr>
            </w:pPr>
            <w:r w:rsidRPr="00153E1E">
              <w:rPr>
                <w:rFonts w:cstheme="minorHAnsi"/>
                <w:sz w:val="22"/>
                <w:szCs w:val="22"/>
              </w:rPr>
              <w:t>25%</w:t>
            </w:r>
          </w:p>
        </w:tc>
      </w:tr>
      <w:tr w:rsidR="006702B7" w:rsidRPr="00153E1E" w14:paraId="5DAEDE2A" w14:textId="77777777" w:rsidTr="008A58BB">
        <w:tc>
          <w:tcPr>
            <w:tcW w:w="1622" w:type="dxa"/>
            <w:vMerge/>
          </w:tcPr>
          <w:p w14:paraId="3E488FA3" w14:textId="77777777" w:rsidR="006702B7" w:rsidRPr="00153E1E" w:rsidRDefault="006702B7" w:rsidP="008A58BB">
            <w:pPr>
              <w:snapToGrid w:val="0"/>
              <w:spacing w:before="120" w:after="120"/>
              <w:rPr>
                <w:rFonts w:cstheme="minorHAnsi"/>
                <w:sz w:val="22"/>
                <w:szCs w:val="22"/>
              </w:rPr>
            </w:pPr>
          </w:p>
        </w:tc>
        <w:tc>
          <w:tcPr>
            <w:tcW w:w="5036" w:type="dxa"/>
          </w:tcPr>
          <w:p w14:paraId="00BB242E" w14:textId="77777777" w:rsidR="006702B7" w:rsidRPr="006702B7" w:rsidRDefault="006702B7" w:rsidP="008A58BB">
            <w:pPr>
              <w:snapToGrid w:val="0"/>
              <w:spacing w:before="120" w:after="120"/>
              <w:rPr>
                <w:rFonts w:cstheme="minorHAnsi"/>
                <w:sz w:val="22"/>
                <w:szCs w:val="22"/>
                <w:lang w:val="fr-FR"/>
              </w:rPr>
            </w:pPr>
            <w:r w:rsidRPr="006702B7">
              <w:rPr>
                <w:rFonts w:cstheme="minorHAnsi"/>
                <w:sz w:val="22"/>
                <w:szCs w:val="22"/>
                <w:lang w:val="fr-FR"/>
              </w:rPr>
              <w:t>Rapport final DREI et résumé exécutif en version française (Word et PDF) et présentation Powerpoint de l’instrument.</w:t>
            </w:r>
          </w:p>
        </w:tc>
        <w:tc>
          <w:tcPr>
            <w:tcW w:w="1275" w:type="dxa"/>
          </w:tcPr>
          <w:p w14:paraId="2667A286" w14:textId="77777777" w:rsidR="006702B7" w:rsidRPr="006702B7" w:rsidRDefault="006702B7" w:rsidP="008A58BB">
            <w:pPr>
              <w:snapToGrid w:val="0"/>
              <w:spacing w:before="120" w:after="120"/>
              <w:rPr>
                <w:rFonts w:cstheme="minorHAnsi"/>
                <w:sz w:val="22"/>
                <w:szCs w:val="22"/>
                <w:lang w:val="fr-FR"/>
              </w:rPr>
            </w:pPr>
            <w:r w:rsidRPr="006702B7">
              <w:rPr>
                <w:rFonts w:cstheme="minorHAnsi"/>
                <w:sz w:val="22"/>
                <w:szCs w:val="22"/>
                <w:lang w:val="fr-FR"/>
              </w:rPr>
              <w:t>14 semaines après signature du contrat</w:t>
            </w:r>
          </w:p>
        </w:tc>
        <w:tc>
          <w:tcPr>
            <w:tcW w:w="1418" w:type="dxa"/>
          </w:tcPr>
          <w:p w14:paraId="70D2AFCA" w14:textId="77777777" w:rsidR="006702B7" w:rsidRPr="00153E1E" w:rsidRDefault="006702B7" w:rsidP="008A58BB">
            <w:pPr>
              <w:snapToGrid w:val="0"/>
              <w:spacing w:before="120" w:after="120"/>
              <w:jc w:val="center"/>
              <w:rPr>
                <w:rFonts w:cstheme="minorHAnsi"/>
                <w:sz w:val="22"/>
                <w:szCs w:val="22"/>
              </w:rPr>
            </w:pPr>
            <w:r w:rsidRPr="00153E1E">
              <w:rPr>
                <w:rFonts w:cstheme="minorHAnsi"/>
                <w:sz w:val="22"/>
                <w:szCs w:val="22"/>
              </w:rPr>
              <w:t>15%</w:t>
            </w:r>
          </w:p>
        </w:tc>
      </w:tr>
      <w:tr w:rsidR="006702B7" w:rsidRPr="00153E1E" w14:paraId="604F8416" w14:textId="77777777" w:rsidTr="008A58BB">
        <w:tc>
          <w:tcPr>
            <w:tcW w:w="1622" w:type="dxa"/>
          </w:tcPr>
          <w:p w14:paraId="188DEA92" w14:textId="77777777" w:rsidR="006702B7" w:rsidRPr="00153E1E" w:rsidRDefault="006702B7" w:rsidP="008A58BB">
            <w:pPr>
              <w:snapToGrid w:val="0"/>
              <w:spacing w:before="120" w:after="120"/>
              <w:rPr>
                <w:rFonts w:cstheme="minorHAnsi"/>
                <w:sz w:val="22"/>
                <w:szCs w:val="22"/>
              </w:rPr>
            </w:pPr>
            <w:r w:rsidRPr="00153E1E">
              <w:rPr>
                <w:rFonts w:cstheme="minorHAnsi"/>
                <w:sz w:val="22"/>
                <w:szCs w:val="22"/>
              </w:rPr>
              <w:t>Activité 3</w:t>
            </w:r>
          </w:p>
        </w:tc>
        <w:tc>
          <w:tcPr>
            <w:tcW w:w="5036" w:type="dxa"/>
          </w:tcPr>
          <w:p w14:paraId="176C9971" w14:textId="77777777" w:rsidR="006702B7" w:rsidRPr="006702B7" w:rsidRDefault="006702B7" w:rsidP="008A58BB">
            <w:pPr>
              <w:snapToGrid w:val="0"/>
              <w:spacing w:before="120" w:after="120"/>
              <w:rPr>
                <w:rFonts w:cstheme="minorHAnsi"/>
                <w:sz w:val="22"/>
                <w:szCs w:val="22"/>
                <w:lang w:val="fr-FR"/>
              </w:rPr>
            </w:pPr>
            <w:r w:rsidRPr="006702B7">
              <w:rPr>
                <w:rFonts w:cstheme="minorHAnsi"/>
                <w:sz w:val="22"/>
                <w:szCs w:val="22"/>
                <w:lang w:val="fr-FR"/>
              </w:rPr>
              <w:t xml:space="preserve">Atelier de restitution et formation des acteurs locaux. Rapport de l’atelier et supports de la formation. </w:t>
            </w:r>
          </w:p>
        </w:tc>
        <w:tc>
          <w:tcPr>
            <w:tcW w:w="1275" w:type="dxa"/>
          </w:tcPr>
          <w:p w14:paraId="3C473295" w14:textId="77777777" w:rsidR="006702B7" w:rsidRPr="006702B7" w:rsidDel="00A00C64" w:rsidRDefault="006702B7" w:rsidP="008A58BB">
            <w:pPr>
              <w:snapToGrid w:val="0"/>
              <w:spacing w:before="120" w:after="120"/>
              <w:rPr>
                <w:rFonts w:cstheme="minorHAnsi"/>
                <w:sz w:val="22"/>
                <w:szCs w:val="22"/>
                <w:lang w:val="fr-FR"/>
              </w:rPr>
            </w:pPr>
            <w:r w:rsidRPr="006702B7">
              <w:rPr>
                <w:rFonts w:cstheme="minorHAnsi"/>
                <w:sz w:val="22"/>
                <w:szCs w:val="22"/>
                <w:lang w:val="fr-FR"/>
              </w:rPr>
              <w:t>16 semaines après signature du contrat</w:t>
            </w:r>
          </w:p>
        </w:tc>
        <w:tc>
          <w:tcPr>
            <w:tcW w:w="1418" w:type="dxa"/>
          </w:tcPr>
          <w:p w14:paraId="126C5041" w14:textId="77777777" w:rsidR="006702B7" w:rsidRPr="00153E1E" w:rsidRDefault="006702B7" w:rsidP="008A58BB">
            <w:pPr>
              <w:snapToGrid w:val="0"/>
              <w:spacing w:before="120" w:after="120"/>
              <w:jc w:val="center"/>
              <w:rPr>
                <w:rFonts w:cstheme="minorHAnsi"/>
                <w:sz w:val="22"/>
                <w:szCs w:val="22"/>
              </w:rPr>
            </w:pPr>
            <w:r w:rsidRPr="00153E1E">
              <w:rPr>
                <w:rFonts w:cstheme="minorHAnsi"/>
                <w:sz w:val="22"/>
                <w:szCs w:val="22"/>
              </w:rPr>
              <w:t>10%</w:t>
            </w:r>
          </w:p>
        </w:tc>
      </w:tr>
      <w:tr w:rsidR="006702B7" w:rsidRPr="00153E1E" w14:paraId="4E5FCF8E" w14:textId="77777777" w:rsidTr="008A58BB">
        <w:tc>
          <w:tcPr>
            <w:tcW w:w="1622" w:type="dxa"/>
            <w:shd w:val="clear" w:color="auto" w:fill="D9D9D9" w:themeFill="background1" w:themeFillShade="D9"/>
          </w:tcPr>
          <w:p w14:paraId="658B1BDA" w14:textId="77777777" w:rsidR="006702B7" w:rsidRPr="00153E1E" w:rsidRDefault="006702B7" w:rsidP="008A58BB">
            <w:pPr>
              <w:snapToGrid w:val="0"/>
              <w:spacing w:before="120" w:after="120"/>
              <w:rPr>
                <w:rFonts w:cstheme="minorHAnsi"/>
                <w:b/>
                <w:bCs/>
                <w:sz w:val="22"/>
                <w:szCs w:val="22"/>
              </w:rPr>
            </w:pPr>
            <w:r w:rsidRPr="00153E1E">
              <w:rPr>
                <w:rFonts w:cstheme="minorHAnsi"/>
                <w:b/>
                <w:bCs/>
                <w:sz w:val="22"/>
                <w:szCs w:val="22"/>
              </w:rPr>
              <w:t>TOTAL</w:t>
            </w:r>
          </w:p>
        </w:tc>
        <w:tc>
          <w:tcPr>
            <w:tcW w:w="5036" w:type="dxa"/>
            <w:shd w:val="clear" w:color="auto" w:fill="D9D9D9" w:themeFill="background1" w:themeFillShade="D9"/>
          </w:tcPr>
          <w:p w14:paraId="24B86E90" w14:textId="77777777" w:rsidR="006702B7" w:rsidRPr="00153E1E" w:rsidRDefault="006702B7" w:rsidP="008A58BB">
            <w:pPr>
              <w:snapToGrid w:val="0"/>
              <w:spacing w:before="120" w:after="120"/>
              <w:rPr>
                <w:rFonts w:cstheme="minorHAnsi"/>
                <w:b/>
                <w:bCs/>
                <w:sz w:val="22"/>
                <w:szCs w:val="22"/>
              </w:rPr>
            </w:pPr>
          </w:p>
        </w:tc>
        <w:tc>
          <w:tcPr>
            <w:tcW w:w="1275" w:type="dxa"/>
            <w:shd w:val="clear" w:color="auto" w:fill="D9D9D9" w:themeFill="background1" w:themeFillShade="D9"/>
          </w:tcPr>
          <w:p w14:paraId="52764129" w14:textId="77777777" w:rsidR="006702B7" w:rsidRPr="00153E1E" w:rsidRDefault="006702B7" w:rsidP="008A58BB">
            <w:pPr>
              <w:snapToGrid w:val="0"/>
              <w:spacing w:before="120" w:after="120"/>
              <w:rPr>
                <w:rFonts w:cstheme="minorHAnsi"/>
                <w:b/>
                <w:bCs/>
                <w:sz w:val="22"/>
                <w:szCs w:val="22"/>
              </w:rPr>
            </w:pPr>
            <w:r w:rsidRPr="00153E1E">
              <w:rPr>
                <w:rFonts w:cstheme="minorHAnsi"/>
                <w:b/>
                <w:bCs/>
                <w:sz w:val="22"/>
                <w:szCs w:val="22"/>
              </w:rPr>
              <w:t>45 jours travaillés sur 4 mois</w:t>
            </w:r>
          </w:p>
        </w:tc>
        <w:tc>
          <w:tcPr>
            <w:tcW w:w="1418" w:type="dxa"/>
            <w:shd w:val="clear" w:color="auto" w:fill="D9D9D9" w:themeFill="background1" w:themeFillShade="D9"/>
          </w:tcPr>
          <w:p w14:paraId="1DAE9A3D" w14:textId="77777777" w:rsidR="006702B7" w:rsidRPr="00153E1E" w:rsidRDefault="006702B7" w:rsidP="008A58BB">
            <w:pPr>
              <w:snapToGrid w:val="0"/>
              <w:spacing w:before="120" w:after="120"/>
              <w:jc w:val="center"/>
              <w:rPr>
                <w:rFonts w:cstheme="minorHAnsi"/>
                <w:b/>
                <w:bCs/>
                <w:sz w:val="22"/>
                <w:szCs w:val="22"/>
              </w:rPr>
            </w:pPr>
            <w:r w:rsidRPr="00153E1E">
              <w:rPr>
                <w:rFonts w:cstheme="minorHAnsi"/>
                <w:b/>
                <w:bCs/>
                <w:sz w:val="22"/>
                <w:szCs w:val="22"/>
              </w:rPr>
              <w:t>100%</w:t>
            </w:r>
          </w:p>
        </w:tc>
      </w:tr>
    </w:tbl>
    <w:p w14:paraId="4CAA59AB" w14:textId="77777777" w:rsidR="006702B7" w:rsidRPr="00153E1E" w:rsidRDefault="006702B7" w:rsidP="006702B7">
      <w:pPr>
        <w:snapToGrid w:val="0"/>
        <w:spacing w:before="120" w:after="120"/>
        <w:jc w:val="both"/>
        <w:rPr>
          <w:rFonts w:cstheme="minorHAnsi"/>
        </w:rPr>
      </w:pPr>
    </w:p>
    <w:p w14:paraId="3E3EE238" w14:textId="77777777" w:rsidR="006702B7" w:rsidRPr="00153E1E" w:rsidRDefault="006702B7" w:rsidP="006702B7">
      <w:pPr>
        <w:pStyle w:val="Paragraphedeliste"/>
        <w:numPr>
          <w:ilvl w:val="0"/>
          <w:numId w:val="26"/>
        </w:numPr>
        <w:snapToGrid w:val="0"/>
        <w:spacing w:before="120" w:after="120"/>
        <w:contextualSpacing w:val="0"/>
        <w:jc w:val="both"/>
        <w:rPr>
          <w:rFonts w:cstheme="minorHAnsi"/>
          <w:b/>
          <w:bCs/>
        </w:rPr>
      </w:pPr>
      <w:r w:rsidRPr="00153E1E">
        <w:rPr>
          <w:rFonts w:cstheme="minorHAnsi"/>
          <w:b/>
          <w:bCs/>
        </w:rPr>
        <w:t>Arrangement institutionnel</w:t>
      </w:r>
    </w:p>
    <w:p w14:paraId="0D7943CE" w14:textId="77777777" w:rsidR="006702B7" w:rsidRPr="006702B7" w:rsidRDefault="006702B7" w:rsidP="006702B7">
      <w:pPr>
        <w:snapToGrid w:val="0"/>
        <w:spacing w:before="120" w:after="120"/>
        <w:jc w:val="both"/>
        <w:rPr>
          <w:rFonts w:cstheme="minorHAnsi"/>
          <w:lang w:val="fr-FR"/>
        </w:rPr>
      </w:pPr>
      <w:r w:rsidRPr="006702B7">
        <w:rPr>
          <w:rFonts w:cstheme="minorHAnsi"/>
          <w:lang w:val="fr-FR"/>
        </w:rPr>
        <w:t>Le consultant international travaillera en étroite collaboration avec le consultant national, le Bureau Pays du PNUD au Tchad et le Hub Régional du PNUD de Dakar.</w:t>
      </w:r>
    </w:p>
    <w:p w14:paraId="002AF7ED" w14:textId="77777777" w:rsidR="006702B7" w:rsidRPr="006702B7" w:rsidRDefault="006702B7" w:rsidP="006702B7">
      <w:pPr>
        <w:snapToGrid w:val="0"/>
        <w:spacing w:before="120" w:after="120"/>
        <w:jc w:val="both"/>
        <w:rPr>
          <w:rFonts w:cstheme="minorHAnsi"/>
          <w:lang w:val="fr-FR"/>
        </w:rPr>
      </w:pPr>
    </w:p>
    <w:p w14:paraId="43835A9B" w14:textId="77777777" w:rsidR="006702B7" w:rsidRPr="00153E1E" w:rsidRDefault="006702B7" w:rsidP="006702B7">
      <w:pPr>
        <w:pStyle w:val="Paragraphedeliste"/>
        <w:numPr>
          <w:ilvl w:val="0"/>
          <w:numId w:val="26"/>
        </w:numPr>
        <w:snapToGrid w:val="0"/>
        <w:spacing w:before="120" w:after="120"/>
        <w:contextualSpacing w:val="0"/>
        <w:jc w:val="both"/>
        <w:rPr>
          <w:rFonts w:cstheme="minorHAnsi"/>
          <w:b/>
          <w:bCs/>
        </w:rPr>
      </w:pPr>
      <w:r w:rsidRPr="00153E1E">
        <w:rPr>
          <w:rFonts w:cstheme="minorHAnsi"/>
          <w:b/>
          <w:bCs/>
        </w:rPr>
        <w:t xml:space="preserve">Qualifications et compétences </w:t>
      </w:r>
    </w:p>
    <w:p w14:paraId="2137BFA2" w14:textId="77777777" w:rsidR="006702B7" w:rsidRPr="00153E1E" w:rsidRDefault="006702B7" w:rsidP="006702B7">
      <w:pPr>
        <w:snapToGrid w:val="0"/>
        <w:spacing w:before="120" w:after="120"/>
        <w:jc w:val="both"/>
        <w:rPr>
          <w:rFonts w:cstheme="minorHAnsi"/>
          <w:i/>
          <w:iCs/>
        </w:rPr>
      </w:pPr>
      <w:r w:rsidRPr="00153E1E">
        <w:rPr>
          <w:rFonts w:cstheme="minorHAnsi"/>
          <w:i/>
          <w:iCs/>
        </w:rPr>
        <w:t xml:space="preserve">Éducation : </w:t>
      </w:r>
    </w:p>
    <w:p w14:paraId="72BF5CBA" w14:textId="77777777" w:rsidR="006702B7" w:rsidRPr="00153E1E" w:rsidRDefault="006702B7" w:rsidP="006702B7">
      <w:pPr>
        <w:pStyle w:val="NormalWeb"/>
        <w:numPr>
          <w:ilvl w:val="0"/>
          <w:numId w:val="35"/>
        </w:numPr>
        <w:rPr>
          <w:rFonts w:ascii="SymbolMT" w:hAnsi="SymbolMT"/>
          <w:sz w:val="22"/>
          <w:szCs w:val="22"/>
          <w:lang w:eastAsia="en-GB"/>
        </w:rPr>
      </w:pPr>
      <w:r w:rsidRPr="00153E1E">
        <w:rPr>
          <w:rFonts w:ascii="Calibri" w:hAnsi="Calibri" w:cs="Calibri"/>
          <w:sz w:val="22"/>
          <w:szCs w:val="22"/>
        </w:rPr>
        <w:lastRenderedPageBreak/>
        <w:t>Avoir au moins un niveau BAC +5 dans le domaine de l’énergie et/ou de la finance et/ou de l’économie et/ou des affaires internationales ou domaines connexes.</w:t>
      </w:r>
    </w:p>
    <w:p w14:paraId="32553239" w14:textId="77777777" w:rsidR="006702B7" w:rsidRPr="00153E1E" w:rsidRDefault="006702B7" w:rsidP="006702B7">
      <w:pPr>
        <w:snapToGrid w:val="0"/>
        <w:spacing w:before="120" w:after="120"/>
        <w:jc w:val="both"/>
        <w:rPr>
          <w:rFonts w:cstheme="minorHAnsi"/>
          <w:i/>
          <w:iCs/>
        </w:rPr>
      </w:pPr>
      <w:r w:rsidRPr="00153E1E">
        <w:rPr>
          <w:rFonts w:cstheme="minorHAnsi"/>
          <w:i/>
          <w:iCs/>
        </w:rPr>
        <w:t xml:space="preserve">Expérience : </w:t>
      </w:r>
    </w:p>
    <w:p w14:paraId="097488DB" w14:textId="77777777" w:rsidR="006702B7" w:rsidRPr="006702B7" w:rsidRDefault="006702B7" w:rsidP="006702B7">
      <w:pPr>
        <w:pStyle w:val="Paragraphedeliste"/>
        <w:numPr>
          <w:ilvl w:val="0"/>
          <w:numId w:val="36"/>
        </w:numPr>
        <w:snapToGrid w:val="0"/>
        <w:spacing w:before="120" w:after="120"/>
        <w:jc w:val="both"/>
        <w:rPr>
          <w:rFonts w:cstheme="minorHAnsi"/>
          <w:lang w:val="fr-FR"/>
        </w:rPr>
      </w:pPr>
      <w:r w:rsidRPr="006702B7">
        <w:rPr>
          <w:rFonts w:cstheme="minorHAnsi"/>
          <w:lang w:val="fr-FR"/>
        </w:rPr>
        <w:t>Au moins 5 ans d’expériences en matière d’investissement dans les énergies renouvelables. Une expérience des instruments publics visant à promouvoir les investissements sera un avantage ;</w:t>
      </w:r>
    </w:p>
    <w:p w14:paraId="56B2EC5C" w14:textId="77777777" w:rsidR="006702B7" w:rsidRPr="006702B7" w:rsidRDefault="006702B7" w:rsidP="006702B7">
      <w:pPr>
        <w:pStyle w:val="Paragraphedeliste"/>
        <w:numPr>
          <w:ilvl w:val="0"/>
          <w:numId w:val="36"/>
        </w:numPr>
        <w:snapToGrid w:val="0"/>
        <w:spacing w:before="120" w:after="120"/>
        <w:jc w:val="both"/>
        <w:rPr>
          <w:rFonts w:cstheme="minorHAnsi"/>
          <w:lang w:val="fr-FR"/>
        </w:rPr>
      </w:pPr>
      <w:r w:rsidRPr="006702B7">
        <w:rPr>
          <w:rFonts w:cstheme="minorHAnsi"/>
          <w:lang w:val="fr-FR"/>
        </w:rPr>
        <w:t>Excellentes compétences en modélisation financière basée sur la recherche, y compris la modélisation LCOE ;</w:t>
      </w:r>
    </w:p>
    <w:p w14:paraId="2922651B" w14:textId="77777777" w:rsidR="006702B7" w:rsidRPr="006702B7" w:rsidRDefault="006702B7" w:rsidP="006702B7">
      <w:pPr>
        <w:pStyle w:val="Paragraphedeliste"/>
        <w:numPr>
          <w:ilvl w:val="0"/>
          <w:numId w:val="36"/>
        </w:numPr>
        <w:snapToGrid w:val="0"/>
        <w:spacing w:before="120" w:after="120"/>
        <w:jc w:val="both"/>
        <w:rPr>
          <w:rFonts w:cstheme="minorHAnsi"/>
          <w:lang w:val="fr-FR"/>
        </w:rPr>
      </w:pPr>
      <w:r w:rsidRPr="006702B7">
        <w:rPr>
          <w:rFonts w:cstheme="minorHAnsi"/>
          <w:lang w:val="fr-FR"/>
        </w:rPr>
        <w:t>Solides compétences en rédaction de rapports ;</w:t>
      </w:r>
    </w:p>
    <w:p w14:paraId="278D94ED" w14:textId="77777777" w:rsidR="006702B7" w:rsidRPr="006702B7" w:rsidRDefault="006702B7" w:rsidP="006702B7">
      <w:pPr>
        <w:pStyle w:val="Paragraphedeliste"/>
        <w:numPr>
          <w:ilvl w:val="0"/>
          <w:numId w:val="36"/>
        </w:numPr>
        <w:snapToGrid w:val="0"/>
        <w:spacing w:before="120" w:after="120"/>
        <w:jc w:val="both"/>
        <w:rPr>
          <w:rFonts w:cstheme="minorHAnsi"/>
          <w:lang w:val="fr-FR"/>
        </w:rPr>
      </w:pPr>
      <w:r w:rsidRPr="006702B7">
        <w:rPr>
          <w:rFonts w:cstheme="minorHAnsi"/>
          <w:lang w:val="fr-FR"/>
        </w:rPr>
        <w:t>Expérience de travail dans des contextes de pays en développement, de préférence en Afrique de l’Ouest;</w:t>
      </w:r>
    </w:p>
    <w:p w14:paraId="7D9712F3" w14:textId="77777777" w:rsidR="006702B7" w:rsidRPr="006702B7" w:rsidRDefault="006702B7" w:rsidP="006702B7">
      <w:pPr>
        <w:pStyle w:val="Paragraphedeliste"/>
        <w:numPr>
          <w:ilvl w:val="0"/>
          <w:numId w:val="36"/>
        </w:numPr>
        <w:snapToGrid w:val="0"/>
        <w:spacing w:before="120" w:after="120"/>
        <w:jc w:val="both"/>
        <w:rPr>
          <w:rFonts w:cstheme="minorHAnsi"/>
          <w:lang w:val="fr-FR"/>
        </w:rPr>
      </w:pPr>
      <w:r w:rsidRPr="006702B7">
        <w:rPr>
          <w:rFonts w:cstheme="minorHAnsi"/>
          <w:lang w:val="fr-FR"/>
        </w:rPr>
        <w:t>Expérience de travail avec des organisations multilatérales et le système des Nations Unies préférée ;</w:t>
      </w:r>
    </w:p>
    <w:p w14:paraId="27BEDFBA" w14:textId="77777777" w:rsidR="006702B7" w:rsidRPr="006702B7" w:rsidRDefault="006702B7" w:rsidP="006702B7">
      <w:pPr>
        <w:pStyle w:val="Paragraphedeliste"/>
        <w:numPr>
          <w:ilvl w:val="0"/>
          <w:numId w:val="36"/>
        </w:numPr>
        <w:snapToGrid w:val="0"/>
        <w:spacing w:before="120" w:after="120"/>
        <w:jc w:val="both"/>
        <w:rPr>
          <w:rFonts w:cstheme="minorHAnsi"/>
          <w:lang w:val="fr-FR"/>
        </w:rPr>
      </w:pPr>
      <w:r w:rsidRPr="006702B7">
        <w:rPr>
          <w:rFonts w:cstheme="minorHAnsi"/>
          <w:lang w:val="fr-FR"/>
        </w:rPr>
        <w:t>Les candidatures féminines sont fortement encouragées et appréciées.</w:t>
      </w:r>
    </w:p>
    <w:p w14:paraId="6099A854" w14:textId="77777777" w:rsidR="006702B7" w:rsidRPr="00153E1E" w:rsidRDefault="006702B7" w:rsidP="006702B7">
      <w:pPr>
        <w:snapToGrid w:val="0"/>
        <w:spacing w:before="120" w:after="120"/>
        <w:jc w:val="both"/>
        <w:rPr>
          <w:rFonts w:cstheme="minorHAnsi"/>
          <w:i/>
          <w:iCs/>
        </w:rPr>
      </w:pPr>
      <w:r w:rsidRPr="00153E1E">
        <w:rPr>
          <w:rFonts w:cstheme="minorHAnsi"/>
          <w:i/>
          <w:iCs/>
        </w:rPr>
        <w:t>Langues:</w:t>
      </w:r>
    </w:p>
    <w:p w14:paraId="01DB7C7B" w14:textId="77777777" w:rsidR="006702B7" w:rsidRPr="006702B7" w:rsidRDefault="006702B7" w:rsidP="006702B7">
      <w:pPr>
        <w:pStyle w:val="Paragraphedeliste"/>
        <w:numPr>
          <w:ilvl w:val="0"/>
          <w:numId w:val="38"/>
        </w:numPr>
        <w:snapToGrid w:val="0"/>
        <w:spacing w:before="120" w:after="120"/>
        <w:jc w:val="both"/>
        <w:rPr>
          <w:rFonts w:cstheme="minorHAnsi"/>
          <w:lang w:val="fr-FR"/>
        </w:rPr>
      </w:pPr>
      <w:r w:rsidRPr="006702B7">
        <w:rPr>
          <w:rFonts w:cstheme="minorHAnsi"/>
          <w:lang w:val="fr-FR"/>
        </w:rPr>
        <w:t xml:space="preserve">Une excellente maîtrise de la langue française et anglaise est exigée. </w:t>
      </w:r>
    </w:p>
    <w:p w14:paraId="1706FB51" w14:textId="77777777" w:rsidR="006702B7" w:rsidRPr="00153E1E" w:rsidRDefault="006702B7" w:rsidP="006702B7">
      <w:pPr>
        <w:pStyle w:val="NormalWeb"/>
        <w:numPr>
          <w:ilvl w:val="0"/>
          <w:numId w:val="26"/>
        </w:numPr>
        <w:snapToGrid w:val="0"/>
        <w:spacing w:before="120" w:beforeAutospacing="0" w:after="120" w:afterAutospacing="0" w:line="276" w:lineRule="auto"/>
        <w:jc w:val="both"/>
        <w:rPr>
          <w:rFonts w:asciiTheme="minorHAnsi" w:hAnsiTheme="minorHAnsi" w:cstheme="minorHAnsi"/>
          <w:b/>
          <w:bCs/>
          <w:sz w:val="22"/>
          <w:szCs w:val="22"/>
        </w:rPr>
      </w:pPr>
      <w:r w:rsidRPr="00153E1E">
        <w:rPr>
          <w:rFonts w:asciiTheme="minorHAnsi" w:hAnsiTheme="minorHAnsi" w:cstheme="minorHAnsi"/>
          <w:b/>
          <w:bCs/>
          <w:sz w:val="22"/>
          <w:szCs w:val="22"/>
        </w:rPr>
        <w:t>Proposition d’offre financière et délai de paiement</w:t>
      </w:r>
    </w:p>
    <w:p w14:paraId="01E3FF89" w14:textId="77777777" w:rsidR="006702B7" w:rsidRPr="00153E1E" w:rsidRDefault="006702B7" w:rsidP="006702B7">
      <w:pPr>
        <w:pStyle w:val="NormalWeb"/>
        <w:snapToGrid w:val="0"/>
        <w:spacing w:before="120" w:beforeAutospacing="0" w:after="120" w:afterAutospacing="0" w:line="276" w:lineRule="auto"/>
        <w:jc w:val="both"/>
        <w:rPr>
          <w:rFonts w:asciiTheme="minorHAnsi" w:hAnsiTheme="minorHAnsi" w:cstheme="minorHAnsi"/>
          <w:sz w:val="22"/>
          <w:szCs w:val="22"/>
        </w:rPr>
      </w:pPr>
      <w:r w:rsidRPr="00153E1E">
        <w:rPr>
          <w:rFonts w:asciiTheme="minorHAnsi" w:hAnsiTheme="minorHAnsi" w:cstheme="minorHAnsi"/>
          <w:sz w:val="22"/>
          <w:szCs w:val="22"/>
        </w:rPr>
        <w:t>L’offre financière du consultant international doit inclure uniquement les honoraires. Les frais de mission éventuels et DSA approuvés par le PNUD seront remboursés.</w:t>
      </w:r>
    </w:p>
    <w:p w14:paraId="52CAE0C5" w14:textId="77777777" w:rsidR="006702B7" w:rsidRPr="00153E1E" w:rsidRDefault="006702B7" w:rsidP="006702B7">
      <w:pPr>
        <w:pStyle w:val="NormalWeb"/>
        <w:numPr>
          <w:ilvl w:val="0"/>
          <w:numId w:val="26"/>
        </w:numPr>
        <w:snapToGrid w:val="0"/>
        <w:spacing w:before="120" w:beforeAutospacing="0" w:after="120" w:afterAutospacing="0" w:line="276" w:lineRule="auto"/>
        <w:jc w:val="both"/>
        <w:rPr>
          <w:rFonts w:asciiTheme="minorHAnsi" w:hAnsiTheme="minorHAnsi" w:cstheme="minorHAnsi"/>
          <w:b/>
          <w:bCs/>
          <w:sz w:val="22"/>
          <w:szCs w:val="22"/>
        </w:rPr>
      </w:pPr>
      <w:r w:rsidRPr="00153E1E">
        <w:rPr>
          <w:rFonts w:asciiTheme="minorHAnsi" w:hAnsiTheme="minorHAnsi" w:cstheme="minorHAnsi"/>
          <w:b/>
          <w:bCs/>
          <w:sz w:val="22"/>
          <w:szCs w:val="22"/>
        </w:rPr>
        <w:t>Critères d’évaluation technique</w:t>
      </w:r>
    </w:p>
    <w:p w14:paraId="4C1DD92E" w14:textId="77777777" w:rsidR="006702B7" w:rsidRPr="00153E1E" w:rsidRDefault="006702B7" w:rsidP="006702B7">
      <w:pPr>
        <w:pStyle w:val="NormalWeb"/>
        <w:snapToGrid w:val="0"/>
        <w:spacing w:before="120" w:beforeAutospacing="0" w:after="120" w:afterAutospacing="0" w:line="276" w:lineRule="auto"/>
        <w:jc w:val="both"/>
        <w:rPr>
          <w:rFonts w:asciiTheme="minorHAnsi" w:hAnsiTheme="minorHAnsi" w:cstheme="minorHAnsi"/>
          <w:sz w:val="22"/>
          <w:szCs w:val="22"/>
        </w:rPr>
      </w:pPr>
    </w:p>
    <w:tbl>
      <w:tblPr>
        <w:tblStyle w:val="Grilledutableau"/>
        <w:tblW w:w="8926" w:type="dxa"/>
        <w:tblLook w:val="04A0" w:firstRow="1" w:lastRow="0" w:firstColumn="1" w:lastColumn="0" w:noHBand="0" w:noVBand="1"/>
      </w:tblPr>
      <w:tblGrid>
        <w:gridCol w:w="562"/>
        <w:gridCol w:w="7088"/>
        <w:gridCol w:w="1276"/>
      </w:tblGrid>
      <w:tr w:rsidR="006702B7" w:rsidRPr="00153E1E" w14:paraId="218EFE63" w14:textId="77777777" w:rsidTr="008A58BB">
        <w:tc>
          <w:tcPr>
            <w:tcW w:w="7650" w:type="dxa"/>
            <w:gridSpan w:val="2"/>
            <w:shd w:val="pct15" w:color="auto" w:fill="auto"/>
          </w:tcPr>
          <w:p w14:paraId="30219DF7" w14:textId="28389644" w:rsidR="006702B7" w:rsidRPr="006702B7" w:rsidRDefault="007F1E84" w:rsidP="008A58BB">
            <w:pPr>
              <w:snapToGrid w:val="0"/>
              <w:spacing w:before="120" w:after="120"/>
              <w:jc w:val="center"/>
              <w:rPr>
                <w:rFonts w:cstheme="minorHAnsi"/>
                <w:b/>
                <w:bCs/>
                <w:sz w:val="22"/>
                <w:szCs w:val="22"/>
                <w:lang w:val="fr-FR"/>
              </w:rPr>
            </w:pPr>
            <w:r w:rsidRPr="006702B7">
              <w:rPr>
                <w:rFonts w:cstheme="minorHAnsi"/>
                <w:b/>
                <w:bCs/>
                <w:sz w:val="22"/>
                <w:szCs w:val="22"/>
                <w:lang w:val="fr-FR"/>
              </w:rPr>
              <w:t>Récapitulatif</w:t>
            </w:r>
            <w:r w:rsidR="006702B7" w:rsidRPr="006702B7">
              <w:rPr>
                <w:rFonts w:cstheme="minorHAnsi"/>
                <w:b/>
                <w:bCs/>
                <w:sz w:val="22"/>
                <w:szCs w:val="22"/>
                <w:lang w:val="fr-FR"/>
              </w:rPr>
              <w:t xml:space="preserve"> des formulaires d’</w:t>
            </w:r>
            <w:r w:rsidRPr="006702B7">
              <w:rPr>
                <w:rFonts w:cstheme="minorHAnsi"/>
                <w:b/>
                <w:bCs/>
                <w:sz w:val="22"/>
                <w:szCs w:val="22"/>
                <w:lang w:val="fr-FR"/>
              </w:rPr>
              <w:t>évaluation</w:t>
            </w:r>
            <w:r w:rsidR="006702B7" w:rsidRPr="006702B7">
              <w:rPr>
                <w:rFonts w:cstheme="minorHAnsi"/>
                <w:b/>
                <w:bCs/>
                <w:sz w:val="22"/>
                <w:szCs w:val="22"/>
                <w:lang w:val="fr-FR"/>
              </w:rPr>
              <w:t xml:space="preserve"> des propositions techniques </w:t>
            </w:r>
          </w:p>
        </w:tc>
        <w:tc>
          <w:tcPr>
            <w:tcW w:w="1276" w:type="dxa"/>
            <w:shd w:val="pct15" w:color="auto" w:fill="auto"/>
          </w:tcPr>
          <w:p w14:paraId="14B5E7EC" w14:textId="77777777" w:rsidR="006702B7" w:rsidRPr="00153E1E" w:rsidRDefault="006702B7" w:rsidP="008A58BB">
            <w:pPr>
              <w:snapToGrid w:val="0"/>
              <w:spacing w:before="120" w:after="120"/>
              <w:jc w:val="center"/>
              <w:rPr>
                <w:rFonts w:cstheme="minorHAnsi"/>
                <w:b/>
                <w:bCs/>
                <w:sz w:val="22"/>
                <w:szCs w:val="22"/>
              </w:rPr>
            </w:pPr>
            <w:r w:rsidRPr="00153E1E">
              <w:rPr>
                <w:rFonts w:cstheme="minorHAnsi"/>
                <w:b/>
                <w:bCs/>
                <w:sz w:val="22"/>
                <w:szCs w:val="22"/>
              </w:rPr>
              <w:t>Note maximum</w:t>
            </w:r>
          </w:p>
        </w:tc>
      </w:tr>
      <w:tr w:rsidR="006702B7" w:rsidRPr="00153E1E" w14:paraId="7F82568E" w14:textId="77777777" w:rsidTr="008A58BB">
        <w:tc>
          <w:tcPr>
            <w:tcW w:w="562" w:type="dxa"/>
            <w:shd w:val="clear" w:color="auto" w:fill="E7E6E6" w:themeFill="background2"/>
          </w:tcPr>
          <w:p w14:paraId="05C1D18B" w14:textId="77777777" w:rsidR="006702B7" w:rsidRPr="00153E1E" w:rsidRDefault="006702B7" w:rsidP="008A58BB">
            <w:pPr>
              <w:snapToGrid w:val="0"/>
              <w:spacing w:before="120" w:after="120"/>
              <w:rPr>
                <w:rFonts w:cstheme="minorHAnsi"/>
                <w:b/>
                <w:bCs/>
                <w:sz w:val="22"/>
                <w:szCs w:val="22"/>
              </w:rPr>
            </w:pPr>
            <w:r w:rsidRPr="00153E1E">
              <w:rPr>
                <w:rFonts w:cstheme="minorHAnsi"/>
                <w:b/>
                <w:bCs/>
                <w:sz w:val="22"/>
                <w:szCs w:val="22"/>
              </w:rPr>
              <w:t>1.</w:t>
            </w:r>
          </w:p>
        </w:tc>
        <w:tc>
          <w:tcPr>
            <w:tcW w:w="7088" w:type="dxa"/>
            <w:shd w:val="clear" w:color="auto" w:fill="E7E6E6" w:themeFill="background2"/>
          </w:tcPr>
          <w:p w14:paraId="77907019" w14:textId="77777777" w:rsidR="006702B7" w:rsidRPr="006702B7" w:rsidRDefault="006702B7" w:rsidP="008A58BB">
            <w:pPr>
              <w:snapToGrid w:val="0"/>
              <w:spacing w:before="120" w:after="120"/>
              <w:rPr>
                <w:rFonts w:cstheme="minorHAnsi"/>
                <w:b/>
                <w:bCs/>
                <w:sz w:val="22"/>
                <w:szCs w:val="22"/>
                <w:lang w:val="fr-FR"/>
              </w:rPr>
            </w:pPr>
            <w:r w:rsidRPr="006702B7">
              <w:rPr>
                <w:rFonts w:cstheme="minorHAnsi"/>
                <w:b/>
                <w:bCs/>
                <w:sz w:val="22"/>
                <w:szCs w:val="22"/>
                <w:lang w:val="fr-FR"/>
              </w:rPr>
              <w:t>Expertise / Qualification et expérience dans la réalisation des études DREI</w:t>
            </w:r>
          </w:p>
        </w:tc>
        <w:tc>
          <w:tcPr>
            <w:tcW w:w="1276" w:type="dxa"/>
            <w:shd w:val="clear" w:color="auto" w:fill="E7E6E6" w:themeFill="background2"/>
          </w:tcPr>
          <w:p w14:paraId="7B296E88" w14:textId="77777777" w:rsidR="006702B7" w:rsidRPr="00153E1E" w:rsidRDefault="006702B7" w:rsidP="008A58BB">
            <w:pPr>
              <w:snapToGrid w:val="0"/>
              <w:spacing w:before="120" w:after="120"/>
              <w:jc w:val="center"/>
              <w:rPr>
                <w:rFonts w:cstheme="minorHAnsi"/>
                <w:b/>
                <w:bCs/>
                <w:sz w:val="22"/>
                <w:szCs w:val="22"/>
              </w:rPr>
            </w:pPr>
            <w:r w:rsidRPr="00153E1E">
              <w:rPr>
                <w:rFonts w:cstheme="minorHAnsi"/>
                <w:b/>
                <w:bCs/>
                <w:sz w:val="22"/>
                <w:szCs w:val="22"/>
              </w:rPr>
              <w:t>50</w:t>
            </w:r>
          </w:p>
        </w:tc>
      </w:tr>
      <w:tr w:rsidR="006702B7" w:rsidRPr="00153E1E" w14:paraId="21448BFD" w14:textId="77777777" w:rsidTr="008A58BB">
        <w:tc>
          <w:tcPr>
            <w:tcW w:w="562" w:type="dxa"/>
          </w:tcPr>
          <w:p w14:paraId="463F8F3B" w14:textId="77777777" w:rsidR="006702B7" w:rsidRPr="00153E1E" w:rsidRDefault="006702B7" w:rsidP="008A58BB">
            <w:pPr>
              <w:snapToGrid w:val="0"/>
              <w:spacing w:before="120" w:after="120"/>
              <w:rPr>
                <w:rFonts w:cstheme="minorHAnsi"/>
                <w:sz w:val="22"/>
                <w:szCs w:val="22"/>
              </w:rPr>
            </w:pPr>
            <w:r w:rsidRPr="00153E1E">
              <w:rPr>
                <w:rFonts w:cstheme="minorHAnsi"/>
                <w:sz w:val="22"/>
                <w:szCs w:val="22"/>
              </w:rPr>
              <w:t>1.1</w:t>
            </w:r>
          </w:p>
        </w:tc>
        <w:tc>
          <w:tcPr>
            <w:tcW w:w="7088" w:type="dxa"/>
            <w:shd w:val="clear" w:color="auto" w:fill="auto"/>
          </w:tcPr>
          <w:p w14:paraId="0F6697D6" w14:textId="77777777" w:rsidR="006702B7" w:rsidRPr="00153E1E" w:rsidRDefault="006702B7" w:rsidP="008A58BB">
            <w:pPr>
              <w:snapToGrid w:val="0"/>
              <w:spacing w:before="120" w:after="120"/>
              <w:rPr>
                <w:rFonts w:cstheme="minorHAnsi"/>
                <w:sz w:val="22"/>
                <w:szCs w:val="22"/>
              </w:rPr>
            </w:pPr>
            <w:r w:rsidRPr="00153E1E">
              <w:rPr>
                <w:rFonts w:cstheme="minorHAnsi"/>
                <w:sz w:val="22"/>
                <w:szCs w:val="22"/>
              </w:rPr>
              <w:t>Diplôme</w:t>
            </w:r>
          </w:p>
        </w:tc>
        <w:tc>
          <w:tcPr>
            <w:tcW w:w="1276" w:type="dxa"/>
          </w:tcPr>
          <w:p w14:paraId="6DDBB891" w14:textId="77777777" w:rsidR="006702B7" w:rsidRPr="00153E1E" w:rsidRDefault="006702B7" w:rsidP="008A58BB">
            <w:pPr>
              <w:snapToGrid w:val="0"/>
              <w:spacing w:before="120" w:after="120"/>
              <w:jc w:val="center"/>
              <w:rPr>
                <w:rFonts w:cstheme="minorHAnsi"/>
                <w:sz w:val="22"/>
                <w:szCs w:val="22"/>
              </w:rPr>
            </w:pPr>
            <w:r w:rsidRPr="00153E1E">
              <w:rPr>
                <w:rFonts w:cstheme="minorHAnsi"/>
                <w:sz w:val="22"/>
                <w:szCs w:val="22"/>
              </w:rPr>
              <w:t>10</w:t>
            </w:r>
          </w:p>
        </w:tc>
      </w:tr>
      <w:tr w:rsidR="006702B7" w:rsidRPr="00153E1E" w14:paraId="6687A9B8" w14:textId="77777777" w:rsidTr="008A58BB">
        <w:tc>
          <w:tcPr>
            <w:tcW w:w="562" w:type="dxa"/>
          </w:tcPr>
          <w:p w14:paraId="5DBB1F62" w14:textId="77777777" w:rsidR="006702B7" w:rsidRPr="00153E1E" w:rsidRDefault="006702B7" w:rsidP="008A58BB">
            <w:pPr>
              <w:snapToGrid w:val="0"/>
              <w:spacing w:before="120" w:after="120"/>
              <w:rPr>
                <w:rFonts w:cstheme="minorHAnsi"/>
                <w:sz w:val="22"/>
                <w:szCs w:val="22"/>
              </w:rPr>
            </w:pPr>
            <w:r w:rsidRPr="00153E1E">
              <w:rPr>
                <w:rFonts w:cstheme="minorHAnsi"/>
                <w:sz w:val="22"/>
                <w:szCs w:val="22"/>
              </w:rPr>
              <w:t>1.2</w:t>
            </w:r>
          </w:p>
        </w:tc>
        <w:tc>
          <w:tcPr>
            <w:tcW w:w="7088" w:type="dxa"/>
            <w:shd w:val="clear" w:color="auto" w:fill="auto"/>
          </w:tcPr>
          <w:p w14:paraId="6EAFCE76" w14:textId="77777777" w:rsidR="006702B7" w:rsidRPr="006702B7" w:rsidRDefault="006702B7" w:rsidP="008A58BB">
            <w:pPr>
              <w:snapToGrid w:val="0"/>
              <w:spacing w:before="120" w:after="120"/>
              <w:rPr>
                <w:rFonts w:cstheme="minorHAnsi"/>
                <w:sz w:val="22"/>
                <w:szCs w:val="22"/>
                <w:lang w:val="fr-FR"/>
              </w:rPr>
            </w:pPr>
            <w:r w:rsidRPr="006702B7">
              <w:rPr>
                <w:rFonts w:cstheme="minorHAnsi"/>
                <w:sz w:val="22"/>
                <w:szCs w:val="22"/>
                <w:lang w:val="fr-FR"/>
              </w:rPr>
              <w:t>Expertise avérée dans les questions liées à l’élaboration d’outil DREI</w:t>
            </w:r>
          </w:p>
        </w:tc>
        <w:tc>
          <w:tcPr>
            <w:tcW w:w="1276" w:type="dxa"/>
          </w:tcPr>
          <w:p w14:paraId="6990793B" w14:textId="77777777" w:rsidR="006702B7" w:rsidRPr="00153E1E" w:rsidRDefault="006702B7" w:rsidP="008A58BB">
            <w:pPr>
              <w:snapToGrid w:val="0"/>
              <w:spacing w:before="120" w:after="120"/>
              <w:jc w:val="center"/>
              <w:rPr>
                <w:rFonts w:cstheme="minorHAnsi"/>
                <w:sz w:val="22"/>
                <w:szCs w:val="22"/>
              </w:rPr>
            </w:pPr>
            <w:r w:rsidRPr="00153E1E">
              <w:rPr>
                <w:rFonts w:cstheme="minorHAnsi"/>
                <w:sz w:val="22"/>
                <w:szCs w:val="22"/>
              </w:rPr>
              <w:t>15</w:t>
            </w:r>
          </w:p>
        </w:tc>
      </w:tr>
      <w:tr w:rsidR="006702B7" w:rsidRPr="00153E1E" w14:paraId="15A2CAB2" w14:textId="77777777" w:rsidTr="008A58BB">
        <w:tc>
          <w:tcPr>
            <w:tcW w:w="562" w:type="dxa"/>
          </w:tcPr>
          <w:p w14:paraId="7D86D726" w14:textId="77777777" w:rsidR="006702B7" w:rsidRPr="00153E1E" w:rsidRDefault="006702B7" w:rsidP="008A58BB">
            <w:pPr>
              <w:snapToGrid w:val="0"/>
              <w:spacing w:before="120" w:after="120"/>
              <w:rPr>
                <w:rFonts w:cstheme="minorHAnsi"/>
                <w:sz w:val="22"/>
                <w:szCs w:val="22"/>
              </w:rPr>
            </w:pPr>
            <w:r w:rsidRPr="00153E1E">
              <w:rPr>
                <w:rFonts w:cstheme="minorHAnsi"/>
                <w:sz w:val="22"/>
                <w:szCs w:val="22"/>
              </w:rPr>
              <w:t>1.3</w:t>
            </w:r>
          </w:p>
        </w:tc>
        <w:tc>
          <w:tcPr>
            <w:tcW w:w="7088" w:type="dxa"/>
            <w:shd w:val="clear" w:color="auto" w:fill="auto"/>
          </w:tcPr>
          <w:p w14:paraId="38F8CECE" w14:textId="77777777" w:rsidR="006702B7" w:rsidRPr="006702B7" w:rsidRDefault="006702B7" w:rsidP="008A58BB">
            <w:pPr>
              <w:snapToGrid w:val="0"/>
              <w:spacing w:before="120" w:after="120"/>
              <w:rPr>
                <w:rFonts w:cstheme="minorHAnsi"/>
                <w:sz w:val="22"/>
                <w:szCs w:val="22"/>
                <w:lang w:val="fr-FR"/>
              </w:rPr>
            </w:pPr>
            <w:r w:rsidRPr="006702B7">
              <w:rPr>
                <w:rFonts w:cstheme="minorHAnsi"/>
                <w:sz w:val="22"/>
                <w:szCs w:val="22"/>
                <w:lang w:val="fr-FR"/>
              </w:rPr>
              <w:t>Expérience professionnelle de 5 ans liée aux activités du secteur public visant à promouvoir les investissements dans les énergies renouvelables. Une expérience des analyses et des rapports quantitatifs basés sur la recherche et expérience en finance climat constituent un avantage</w:t>
            </w:r>
          </w:p>
        </w:tc>
        <w:tc>
          <w:tcPr>
            <w:tcW w:w="1276" w:type="dxa"/>
          </w:tcPr>
          <w:p w14:paraId="3C22945F" w14:textId="77777777" w:rsidR="006702B7" w:rsidRPr="00153E1E" w:rsidRDefault="006702B7" w:rsidP="008A58BB">
            <w:pPr>
              <w:snapToGrid w:val="0"/>
              <w:spacing w:before="120" w:after="120"/>
              <w:jc w:val="center"/>
              <w:rPr>
                <w:rFonts w:cstheme="minorHAnsi"/>
                <w:sz w:val="22"/>
                <w:szCs w:val="22"/>
              </w:rPr>
            </w:pPr>
            <w:r w:rsidRPr="00153E1E">
              <w:rPr>
                <w:rFonts w:cstheme="minorHAnsi"/>
                <w:sz w:val="22"/>
                <w:szCs w:val="22"/>
              </w:rPr>
              <w:t>15</w:t>
            </w:r>
          </w:p>
        </w:tc>
      </w:tr>
      <w:tr w:rsidR="006702B7" w:rsidRPr="00153E1E" w14:paraId="4F12F40E" w14:textId="77777777" w:rsidTr="008A58BB">
        <w:tc>
          <w:tcPr>
            <w:tcW w:w="562" w:type="dxa"/>
          </w:tcPr>
          <w:p w14:paraId="2146BB66" w14:textId="77777777" w:rsidR="006702B7" w:rsidRPr="00153E1E" w:rsidRDefault="006702B7" w:rsidP="008A58BB">
            <w:pPr>
              <w:snapToGrid w:val="0"/>
              <w:spacing w:before="120" w:after="120"/>
              <w:rPr>
                <w:rFonts w:cstheme="minorHAnsi"/>
                <w:sz w:val="22"/>
                <w:szCs w:val="22"/>
              </w:rPr>
            </w:pPr>
            <w:r w:rsidRPr="00153E1E">
              <w:rPr>
                <w:rFonts w:cstheme="minorHAnsi"/>
                <w:sz w:val="22"/>
                <w:szCs w:val="22"/>
              </w:rPr>
              <w:t>1.4</w:t>
            </w:r>
          </w:p>
        </w:tc>
        <w:tc>
          <w:tcPr>
            <w:tcW w:w="7088" w:type="dxa"/>
            <w:shd w:val="clear" w:color="auto" w:fill="auto"/>
          </w:tcPr>
          <w:p w14:paraId="318FFC64" w14:textId="77777777" w:rsidR="006702B7" w:rsidRPr="006702B7" w:rsidRDefault="006702B7" w:rsidP="008A58BB">
            <w:pPr>
              <w:snapToGrid w:val="0"/>
              <w:spacing w:before="120" w:after="120"/>
              <w:rPr>
                <w:rFonts w:cstheme="minorHAnsi"/>
                <w:sz w:val="22"/>
                <w:szCs w:val="22"/>
                <w:lang w:val="fr-FR"/>
              </w:rPr>
            </w:pPr>
            <w:r w:rsidRPr="006702B7">
              <w:rPr>
                <w:rFonts w:cstheme="minorHAnsi"/>
                <w:sz w:val="22"/>
                <w:szCs w:val="22"/>
                <w:lang w:val="fr-FR"/>
              </w:rPr>
              <w:t>Références antérieures pour les travaux similaires</w:t>
            </w:r>
          </w:p>
        </w:tc>
        <w:tc>
          <w:tcPr>
            <w:tcW w:w="1276" w:type="dxa"/>
          </w:tcPr>
          <w:p w14:paraId="7BD254FA" w14:textId="77777777" w:rsidR="006702B7" w:rsidRPr="00153E1E" w:rsidRDefault="006702B7" w:rsidP="008A58BB">
            <w:pPr>
              <w:snapToGrid w:val="0"/>
              <w:spacing w:before="120" w:after="120"/>
              <w:jc w:val="center"/>
              <w:rPr>
                <w:rFonts w:cstheme="minorHAnsi"/>
                <w:sz w:val="22"/>
                <w:szCs w:val="22"/>
              </w:rPr>
            </w:pPr>
            <w:r w:rsidRPr="00153E1E">
              <w:rPr>
                <w:rFonts w:cstheme="minorHAnsi"/>
                <w:sz w:val="22"/>
                <w:szCs w:val="22"/>
              </w:rPr>
              <w:t>10</w:t>
            </w:r>
          </w:p>
        </w:tc>
      </w:tr>
      <w:tr w:rsidR="006702B7" w:rsidRPr="00153E1E" w14:paraId="63BD0BAF" w14:textId="77777777" w:rsidTr="008A58BB">
        <w:tc>
          <w:tcPr>
            <w:tcW w:w="562" w:type="dxa"/>
            <w:shd w:val="clear" w:color="auto" w:fill="E7E6E6" w:themeFill="background2"/>
          </w:tcPr>
          <w:p w14:paraId="25299308" w14:textId="77777777" w:rsidR="006702B7" w:rsidRPr="00153E1E" w:rsidRDefault="006702B7" w:rsidP="008A58BB">
            <w:pPr>
              <w:snapToGrid w:val="0"/>
              <w:spacing w:before="120" w:after="120"/>
              <w:rPr>
                <w:rFonts w:cstheme="minorHAnsi"/>
                <w:b/>
                <w:bCs/>
                <w:sz w:val="22"/>
                <w:szCs w:val="22"/>
              </w:rPr>
            </w:pPr>
            <w:r w:rsidRPr="00153E1E">
              <w:rPr>
                <w:rFonts w:cstheme="minorHAnsi"/>
                <w:b/>
                <w:bCs/>
                <w:sz w:val="22"/>
                <w:szCs w:val="22"/>
              </w:rPr>
              <w:t>2.</w:t>
            </w:r>
          </w:p>
        </w:tc>
        <w:tc>
          <w:tcPr>
            <w:tcW w:w="7088" w:type="dxa"/>
            <w:shd w:val="clear" w:color="auto" w:fill="E7E6E6" w:themeFill="background2"/>
          </w:tcPr>
          <w:p w14:paraId="46FA5A7F" w14:textId="77777777" w:rsidR="006702B7" w:rsidRPr="00153E1E" w:rsidRDefault="006702B7" w:rsidP="008A58BB">
            <w:pPr>
              <w:snapToGrid w:val="0"/>
              <w:spacing w:before="120" w:after="120"/>
              <w:rPr>
                <w:rFonts w:cstheme="minorHAnsi"/>
                <w:b/>
                <w:bCs/>
                <w:sz w:val="22"/>
                <w:szCs w:val="22"/>
              </w:rPr>
            </w:pPr>
            <w:r w:rsidRPr="00153E1E">
              <w:rPr>
                <w:rFonts w:cstheme="minorHAnsi"/>
                <w:b/>
                <w:bCs/>
                <w:sz w:val="22"/>
                <w:szCs w:val="22"/>
              </w:rPr>
              <w:t>Plan de travail</w:t>
            </w:r>
          </w:p>
        </w:tc>
        <w:tc>
          <w:tcPr>
            <w:tcW w:w="1276" w:type="dxa"/>
            <w:shd w:val="clear" w:color="auto" w:fill="E7E6E6" w:themeFill="background2"/>
          </w:tcPr>
          <w:p w14:paraId="0D6E83A5" w14:textId="77777777" w:rsidR="006702B7" w:rsidRPr="00153E1E" w:rsidRDefault="006702B7" w:rsidP="008A58BB">
            <w:pPr>
              <w:snapToGrid w:val="0"/>
              <w:spacing w:before="120" w:after="120"/>
              <w:jc w:val="center"/>
              <w:rPr>
                <w:rFonts w:cstheme="minorHAnsi"/>
                <w:b/>
                <w:bCs/>
                <w:sz w:val="22"/>
                <w:szCs w:val="22"/>
              </w:rPr>
            </w:pPr>
            <w:r w:rsidRPr="00153E1E">
              <w:rPr>
                <w:rFonts w:cstheme="minorHAnsi"/>
                <w:b/>
                <w:bCs/>
                <w:sz w:val="22"/>
                <w:szCs w:val="22"/>
              </w:rPr>
              <w:t>10</w:t>
            </w:r>
          </w:p>
        </w:tc>
      </w:tr>
      <w:tr w:rsidR="006702B7" w:rsidRPr="00153E1E" w14:paraId="683D91D8" w14:textId="77777777" w:rsidTr="008A58BB">
        <w:tc>
          <w:tcPr>
            <w:tcW w:w="562" w:type="dxa"/>
          </w:tcPr>
          <w:p w14:paraId="667621FF" w14:textId="77777777" w:rsidR="006702B7" w:rsidRPr="00153E1E" w:rsidRDefault="006702B7" w:rsidP="008A58BB">
            <w:pPr>
              <w:snapToGrid w:val="0"/>
              <w:spacing w:before="120" w:after="120"/>
              <w:rPr>
                <w:rFonts w:cstheme="minorHAnsi"/>
                <w:sz w:val="22"/>
                <w:szCs w:val="22"/>
              </w:rPr>
            </w:pPr>
            <w:r w:rsidRPr="00153E1E">
              <w:rPr>
                <w:rFonts w:cstheme="minorHAnsi"/>
                <w:sz w:val="22"/>
                <w:szCs w:val="22"/>
              </w:rPr>
              <w:lastRenderedPageBreak/>
              <w:t>2.1</w:t>
            </w:r>
          </w:p>
        </w:tc>
        <w:tc>
          <w:tcPr>
            <w:tcW w:w="7088" w:type="dxa"/>
            <w:shd w:val="clear" w:color="auto" w:fill="auto"/>
          </w:tcPr>
          <w:p w14:paraId="5D032347" w14:textId="77777777" w:rsidR="006702B7" w:rsidRPr="006702B7" w:rsidRDefault="006702B7" w:rsidP="008A58BB">
            <w:pPr>
              <w:snapToGrid w:val="0"/>
              <w:spacing w:before="120" w:after="120"/>
              <w:rPr>
                <w:rFonts w:cstheme="minorHAnsi"/>
                <w:sz w:val="22"/>
                <w:szCs w:val="22"/>
                <w:lang w:val="fr-FR"/>
              </w:rPr>
            </w:pPr>
            <w:r w:rsidRPr="006702B7">
              <w:rPr>
                <w:rFonts w:cstheme="minorHAnsi"/>
                <w:sz w:val="22"/>
                <w:szCs w:val="22"/>
                <w:lang w:val="fr-FR"/>
              </w:rPr>
              <w:t>Le plan de travail est-il bien défini, bien détaillé et correspond-il aux termes de référence ?</w:t>
            </w:r>
          </w:p>
        </w:tc>
        <w:tc>
          <w:tcPr>
            <w:tcW w:w="1276" w:type="dxa"/>
          </w:tcPr>
          <w:p w14:paraId="5C6D4D5B" w14:textId="77777777" w:rsidR="006702B7" w:rsidRPr="00153E1E" w:rsidRDefault="006702B7" w:rsidP="008A58BB">
            <w:pPr>
              <w:snapToGrid w:val="0"/>
              <w:spacing w:before="120" w:after="120"/>
              <w:jc w:val="center"/>
              <w:rPr>
                <w:rFonts w:cstheme="minorHAnsi"/>
                <w:sz w:val="22"/>
                <w:szCs w:val="22"/>
              </w:rPr>
            </w:pPr>
            <w:r w:rsidRPr="00153E1E">
              <w:rPr>
                <w:rFonts w:cstheme="minorHAnsi"/>
                <w:sz w:val="22"/>
                <w:szCs w:val="22"/>
              </w:rPr>
              <w:t>10</w:t>
            </w:r>
          </w:p>
        </w:tc>
      </w:tr>
      <w:tr w:rsidR="006702B7" w:rsidRPr="00153E1E" w14:paraId="5D0AE61B" w14:textId="77777777" w:rsidTr="008A58BB">
        <w:tc>
          <w:tcPr>
            <w:tcW w:w="562" w:type="dxa"/>
            <w:shd w:val="clear" w:color="auto" w:fill="E7E6E6" w:themeFill="background2"/>
          </w:tcPr>
          <w:p w14:paraId="1D10F9FE" w14:textId="77777777" w:rsidR="006702B7" w:rsidRPr="00153E1E" w:rsidRDefault="006702B7" w:rsidP="008A58BB">
            <w:pPr>
              <w:snapToGrid w:val="0"/>
              <w:spacing w:before="120" w:after="120"/>
              <w:rPr>
                <w:rFonts w:cstheme="minorHAnsi"/>
                <w:b/>
                <w:bCs/>
                <w:sz w:val="22"/>
                <w:szCs w:val="22"/>
              </w:rPr>
            </w:pPr>
            <w:r w:rsidRPr="00153E1E">
              <w:rPr>
                <w:rFonts w:cstheme="minorHAnsi"/>
                <w:b/>
                <w:bCs/>
                <w:sz w:val="22"/>
                <w:szCs w:val="22"/>
              </w:rPr>
              <w:t>3.</w:t>
            </w:r>
          </w:p>
        </w:tc>
        <w:tc>
          <w:tcPr>
            <w:tcW w:w="7088" w:type="dxa"/>
            <w:shd w:val="clear" w:color="auto" w:fill="E7E6E6" w:themeFill="background2"/>
          </w:tcPr>
          <w:p w14:paraId="2F5335AE" w14:textId="77777777" w:rsidR="006702B7" w:rsidRPr="006702B7" w:rsidRDefault="006702B7" w:rsidP="008A58BB">
            <w:pPr>
              <w:snapToGrid w:val="0"/>
              <w:spacing w:before="120" w:after="120"/>
              <w:rPr>
                <w:rFonts w:cstheme="minorHAnsi"/>
                <w:b/>
                <w:bCs/>
                <w:sz w:val="22"/>
                <w:szCs w:val="22"/>
                <w:lang w:val="fr-FR"/>
              </w:rPr>
            </w:pPr>
            <w:r w:rsidRPr="006702B7">
              <w:rPr>
                <w:rFonts w:cstheme="minorHAnsi"/>
                <w:b/>
                <w:bCs/>
                <w:sz w:val="22"/>
                <w:szCs w:val="22"/>
                <w:lang w:val="fr-FR"/>
              </w:rPr>
              <w:t>Méthodologie proposée et approche pour exécuter le travail selon les TDR</w:t>
            </w:r>
          </w:p>
        </w:tc>
        <w:tc>
          <w:tcPr>
            <w:tcW w:w="1276" w:type="dxa"/>
            <w:shd w:val="clear" w:color="auto" w:fill="E7E6E6" w:themeFill="background2"/>
          </w:tcPr>
          <w:p w14:paraId="263F14BA" w14:textId="77777777" w:rsidR="006702B7" w:rsidRPr="00153E1E" w:rsidRDefault="006702B7" w:rsidP="008A58BB">
            <w:pPr>
              <w:snapToGrid w:val="0"/>
              <w:spacing w:before="120" w:after="120"/>
              <w:jc w:val="center"/>
              <w:rPr>
                <w:rFonts w:cstheme="minorHAnsi"/>
                <w:b/>
                <w:bCs/>
                <w:sz w:val="22"/>
                <w:szCs w:val="22"/>
              </w:rPr>
            </w:pPr>
            <w:r w:rsidRPr="00153E1E">
              <w:rPr>
                <w:rFonts w:cstheme="minorHAnsi"/>
                <w:b/>
                <w:bCs/>
                <w:sz w:val="22"/>
                <w:szCs w:val="22"/>
              </w:rPr>
              <w:t>40</w:t>
            </w:r>
          </w:p>
        </w:tc>
      </w:tr>
      <w:tr w:rsidR="006702B7" w:rsidRPr="00153E1E" w14:paraId="2E7CCCAA" w14:textId="77777777" w:rsidTr="008A58BB">
        <w:tc>
          <w:tcPr>
            <w:tcW w:w="562" w:type="dxa"/>
          </w:tcPr>
          <w:p w14:paraId="062A7F0A" w14:textId="77777777" w:rsidR="006702B7" w:rsidRPr="00153E1E" w:rsidRDefault="006702B7" w:rsidP="008A58BB">
            <w:pPr>
              <w:snapToGrid w:val="0"/>
              <w:spacing w:before="120" w:after="120"/>
              <w:rPr>
                <w:rFonts w:cstheme="minorHAnsi"/>
                <w:sz w:val="22"/>
                <w:szCs w:val="22"/>
              </w:rPr>
            </w:pPr>
            <w:r w:rsidRPr="00153E1E">
              <w:rPr>
                <w:rFonts w:cstheme="minorHAnsi"/>
                <w:sz w:val="22"/>
                <w:szCs w:val="22"/>
              </w:rPr>
              <w:t>3.1</w:t>
            </w:r>
          </w:p>
        </w:tc>
        <w:tc>
          <w:tcPr>
            <w:tcW w:w="7088" w:type="dxa"/>
          </w:tcPr>
          <w:p w14:paraId="27586552" w14:textId="77777777" w:rsidR="006702B7" w:rsidRPr="006702B7" w:rsidRDefault="006702B7" w:rsidP="008A58BB">
            <w:pPr>
              <w:snapToGrid w:val="0"/>
              <w:spacing w:before="120" w:after="120"/>
              <w:rPr>
                <w:rFonts w:cstheme="minorHAnsi"/>
                <w:sz w:val="22"/>
                <w:szCs w:val="22"/>
                <w:lang w:val="fr-FR"/>
              </w:rPr>
            </w:pPr>
            <w:r w:rsidRPr="006702B7">
              <w:rPr>
                <w:rFonts w:cstheme="minorHAnsi"/>
                <w:sz w:val="22"/>
                <w:szCs w:val="22"/>
                <w:lang w:val="fr-FR"/>
              </w:rPr>
              <w:t>La proposition montre-elle une compréhension générale du sujet ?</w:t>
            </w:r>
          </w:p>
        </w:tc>
        <w:tc>
          <w:tcPr>
            <w:tcW w:w="1276" w:type="dxa"/>
          </w:tcPr>
          <w:p w14:paraId="0533C798" w14:textId="77777777" w:rsidR="006702B7" w:rsidRPr="00153E1E" w:rsidRDefault="006702B7" w:rsidP="008A58BB">
            <w:pPr>
              <w:snapToGrid w:val="0"/>
              <w:spacing w:before="120" w:after="120"/>
              <w:jc w:val="center"/>
              <w:rPr>
                <w:rFonts w:cstheme="minorHAnsi"/>
                <w:sz w:val="22"/>
                <w:szCs w:val="22"/>
              </w:rPr>
            </w:pPr>
            <w:r w:rsidRPr="00153E1E">
              <w:rPr>
                <w:rFonts w:cstheme="minorHAnsi"/>
                <w:sz w:val="22"/>
                <w:szCs w:val="22"/>
              </w:rPr>
              <w:t>10</w:t>
            </w:r>
          </w:p>
        </w:tc>
      </w:tr>
      <w:tr w:rsidR="006702B7" w:rsidRPr="00153E1E" w14:paraId="6F6A9068" w14:textId="77777777" w:rsidTr="008A58BB">
        <w:tc>
          <w:tcPr>
            <w:tcW w:w="562" w:type="dxa"/>
          </w:tcPr>
          <w:p w14:paraId="04C46350" w14:textId="77777777" w:rsidR="006702B7" w:rsidRPr="00153E1E" w:rsidRDefault="006702B7" w:rsidP="008A58BB">
            <w:pPr>
              <w:snapToGrid w:val="0"/>
              <w:spacing w:before="120" w:after="120"/>
              <w:rPr>
                <w:rFonts w:cstheme="minorHAnsi"/>
                <w:sz w:val="22"/>
                <w:szCs w:val="22"/>
              </w:rPr>
            </w:pPr>
            <w:r w:rsidRPr="00153E1E">
              <w:rPr>
                <w:rFonts w:cstheme="minorHAnsi"/>
                <w:sz w:val="22"/>
                <w:szCs w:val="22"/>
              </w:rPr>
              <w:t>3.2</w:t>
            </w:r>
          </w:p>
        </w:tc>
        <w:tc>
          <w:tcPr>
            <w:tcW w:w="7088" w:type="dxa"/>
          </w:tcPr>
          <w:p w14:paraId="7D22A776" w14:textId="77777777" w:rsidR="006702B7" w:rsidRPr="006702B7" w:rsidRDefault="006702B7" w:rsidP="008A58BB">
            <w:pPr>
              <w:snapToGrid w:val="0"/>
              <w:spacing w:before="120" w:after="120"/>
              <w:rPr>
                <w:rFonts w:cstheme="minorHAnsi"/>
                <w:sz w:val="22"/>
                <w:szCs w:val="22"/>
                <w:lang w:val="fr-FR"/>
              </w:rPr>
            </w:pPr>
            <w:r w:rsidRPr="006702B7">
              <w:rPr>
                <w:rFonts w:cstheme="minorHAnsi"/>
                <w:sz w:val="22"/>
                <w:szCs w:val="22"/>
                <w:lang w:val="fr-FR"/>
              </w:rPr>
              <w:t>Les aspects importants de la tâche ont-ils été traités de manière suffisamment détaillée ?</w:t>
            </w:r>
          </w:p>
        </w:tc>
        <w:tc>
          <w:tcPr>
            <w:tcW w:w="1276" w:type="dxa"/>
          </w:tcPr>
          <w:p w14:paraId="357F4AEF" w14:textId="77777777" w:rsidR="006702B7" w:rsidRPr="00153E1E" w:rsidRDefault="006702B7" w:rsidP="008A58BB">
            <w:pPr>
              <w:snapToGrid w:val="0"/>
              <w:spacing w:before="120" w:after="120"/>
              <w:jc w:val="center"/>
              <w:rPr>
                <w:rFonts w:cstheme="minorHAnsi"/>
                <w:sz w:val="22"/>
                <w:szCs w:val="22"/>
              </w:rPr>
            </w:pPr>
            <w:r w:rsidRPr="00153E1E">
              <w:rPr>
                <w:rFonts w:cstheme="minorHAnsi"/>
                <w:sz w:val="22"/>
                <w:szCs w:val="22"/>
              </w:rPr>
              <w:t>10</w:t>
            </w:r>
          </w:p>
        </w:tc>
      </w:tr>
      <w:tr w:rsidR="006702B7" w:rsidRPr="00153E1E" w14:paraId="1A939BF0" w14:textId="77777777" w:rsidTr="008A58BB">
        <w:tc>
          <w:tcPr>
            <w:tcW w:w="562" w:type="dxa"/>
          </w:tcPr>
          <w:p w14:paraId="6632E0F6" w14:textId="77777777" w:rsidR="006702B7" w:rsidRPr="00153E1E" w:rsidRDefault="006702B7" w:rsidP="008A58BB">
            <w:pPr>
              <w:snapToGrid w:val="0"/>
              <w:spacing w:before="120" w:after="120"/>
              <w:rPr>
                <w:rFonts w:cstheme="minorHAnsi"/>
                <w:sz w:val="22"/>
                <w:szCs w:val="22"/>
              </w:rPr>
            </w:pPr>
            <w:r w:rsidRPr="00153E1E">
              <w:rPr>
                <w:rFonts w:cstheme="minorHAnsi"/>
                <w:sz w:val="22"/>
                <w:szCs w:val="22"/>
              </w:rPr>
              <w:t>3.3</w:t>
            </w:r>
          </w:p>
        </w:tc>
        <w:tc>
          <w:tcPr>
            <w:tcW w:w="7088" w:type="dxa"/>
          </w:tcPr>
          <w:p w14:paraId="48ED2EE2" w14:textId="77777777" w:rsidR="006702B7" w:rsidRPr="006702B7" w:rsidRDefault="006702B7" w:rsidP="008A58BB">
            <w:pPr>
              <w:snapToGrid w:val="0"/>
              <w:spacing w:before="120" w:after="120"/>
              <w:rPr>
                <w:rFonts w:cstheme="minorHAnsi"/>
                <w:sz w:val="22"/>
                <w:szCs w:val="22"/>
                <w:lang w:val="fr-FR"/>
              </w:rPr>
            </w:pPr>
            <w:r w:rsidRPr="006702B7">
              <w:rPr>
                <w:rFonts w:cstheme="minorHAnsi"/>
                <w:sz w:val="22"/>
                <w:szCs w:val="22"/>
                <w:lang w:val="fr-FR"/>
              </w:rPr>
              <w:t>La proposition comprend-elle un cadre méthodologique cohérent ?</w:t>
            </w:r>
          </w:p>
        </w:tc>
        <w:tc>
          <w:tcPr>
            <w:tcW w:w="1276" w:type="dxa"/>
          </w:tcPr>
          <w:p w14:paraId="4E2C750F" w14:textId="77777777" w:rsidR="006702B7" w:rsidRPr="00153E1E" w:rsidRDefault="006702B7" w:rsidP="008A58BB">
            <w:pPr>
              <w:snapToGrid w:val="0"/>
              <w:spacing w:before="120" w:after="120"/>
              <w:jc w:val="center"/>
              <w:rPr>
                <w:rFonts w:cstheme="minorHAnsi"/>
                <w:sz w:val="22"/>
                <w:szCs w:val="22"/>
              </w:rPr>
            </w:pPr>
            <w:r w:rsidRPr="00153E1E">
              <w:rPr>
                <w:rFonts w:cstheme="minorHAnsi"/>
                <w:sz w:val="22"/>
                <w:szCs w:val="22"/>
              </w:rPr>
              <w:t>10</w:t>
            </w:r>
          </w:p>
        </w:tc>
      </w:tr>
      <w:tr w:rsidR="006702B7" w:rsidRPr="00153E1E" w14:paraId="25FB8D3B" w14:textId="77777777" w:rsidTr="008A58BB">
        <w:tc>
          <w:tcPr>
            <w:tcW w:w="562" w:type="dxa"/>
          </w:tcPr>
          <w:p w14:paraId="2BD217B6" w14:textId="77777777" w:rsidR="006702B7" w:rsidRPr="00153E1E" w:rsidRDefault="006702B7" w:rsidP="008A58BB">
            <w:pPr>
              <w:snapToGrid w:val="0"/>
              <w:spacing w:before="120" w:after="120"/>
              <w:rPr>
                <w:rFonts w:cstheme="minorHAnsi"/>
                <w:sz w:val="22"/>
                <w:szCs w:val="22"/>
              </w:rPr>
            </w:pPr>
            <w:r w:rsidRPr="00153E1E">
              <w:rPr>
                <w:rFonts w:cstheme="minorHAnsi"/>
                <w:sz w:val="22"/>
                <w:szCs w:val="22"/>
              </w:rPr>
              <w:t>3.4</w:t>
            </w:r>
          </w:p>
        </w:tc>
        <w:tc>
          <w:tcPr>
            <w:tcW w:w="7088" w:type="dxa"/>
          </w:tcPr>
          <w:p w14:paraId="35E46C92" w14:textId="4474CFC0" w:rsidR="006702B7" w:rsidRPr="00153E1E" w:rsidRDefault="006702B7" w:rsidP="008A58BB">
            <w:pPr>
              <w:pStyle w:val="NormalWeb"/>
              <w:rPr>
                <w:sz w:val="22"/>
                <w:szCs w:val="22"/>
                <w:lang w:eastAsia="en-GB"/>
              </w:rPr>
            </w:pPr>
            <w:r w:rsidRPr="00153E1E">
              <w:rPr>
                <w:rFonts w:ascii="Calibri" w:hAnsi="Calibri" w:cs="Calibri"/>
                <w:sz w:val="22"/>
                <w:szCs w:val="22"/>
              </w:rPr>
              <w:t xml:space="preserve">La </w:t>
            </w:r>
            <w:r w:rsidR="007F1E84" w:rsidRPr="00153E1E">
              <w:rPr>
                <w:rFonts w:ascii="Calibri" w:hAnsi="Calibri" w:cs="Calibri"/>
                <w:sz w:val="22"/>
                <w:szCs w:val="22"/>
              </w:rPr>
              <w:t>présentation</w:t>
            </w:r>
            <w:r w:rsidRPr="00153E1E">
              <w:rPr>
                <w:rFonts w:ascii="Calibri" w:hAnsi="Calibri" w:cs="Calibri"/>
                <w:sz w:val="22"/>
                <w:szCs w:val="22"/>
              </w:rPr>
              <w:t xml:space="preserve"> est-elle claire, et la succession des activités ainsi que la planification sont-elles logiques, </w:t>
            </w:r>
            <w:r w:rsidR="007F1E84" w:rsidRPr="00153E1E">
              <w:rPr>
                <w:rFonts w:ascii="Calibri" w:hAnsi="Calibri" w:cs="Calibri"/>
                <w:sz w:val="22"/>
                <w:szCs w:val="22"/>
              </w:rPr>
              <w:t>réalistes</w:t>
            </w:r>
            <w:r w:rsidRPr="00153E1E">
              <w:rPr>
                <w:rFonts w:ascii="Calibri" w:hAnsi="Calibri" w:cs="Calibri"/>
                <w:sz w:val="22"/>
                <w:szCs w:val="22"/>
              </w:rPr>
              <w:t xml:space="preserve"> et augurent-elles suffisamment d’une bonne </w:t>
            </w:r>
            <w:r w:rsidR="007F1E84" w:rsidRPr="00153E1E">
              <w:rPr>
                <w:rFonts w:ascii="Calibri" w:hAnsi="Calibri" w:cs="Calibri"/>
                <w:sz w:val="22"/>
                <w:szCs w:val="22"/>
              </w:rPr>
              <w:t>exécution</w:t>
            </w:r>
            <w:r w:rsidRPr="00153E1E">
              <w:rPr>
                <w:rFonts w:ascii="Calibri" w:hAnsi="Calibri" w:cs="Calibri"/>
                <w:sz w:val="22"/>
                <w:szCs w:val="22"/>
              </w:rPr>
              <w:t xml:space="preserve"> du projet ? </w:t>
            </w:r>
          </w:p>
        </w:tc>
        <w:tc>
          <w:tcPr>
            <w:tcW w:w="1276" w:type="dxa"/>
          </w:tcPr>
          <w:p w14:paraId="1725F382" w14:textId="77777777" w:rsidR="006702B7" w:rsidRPr="00153E1E" w:rsidRDefault="006702B7" w:rsidP="008A58BB">
            <w:pPr>
              <w:snapToGrid w:val="0"/>
              <w:spacing w:before="120" w:after="120"/>
              <w:jc w:val="center"/>
              <w:rPr>
                <w:rFonts w:cstheme="minorHAnsi"/>
                <w:sz w:val="22"/>
                <w:szCs w:val="22"/>
              </w:rPr>
            </w:pPr>
            <w:r w:rsidRPr="00153E1E">
              <w:rPr>
                <w:rFonts w:cstheme="minorHAnsi"/>
                <w:sz w:val="22"/>
                <w:szCs w:val="22"/>
              </w:rPr>
              <w:t>10</w:t>
            </w:r>
          </w:p>
        </w:tc>
      </w:tr>
      <w:tr w:rsidR="006702B7" w:rsidRPr="00153E1E" w14:paraId="60C2FC84" w14:textId="77777777" w:rsidTr="008A58BB">
        <w:tc>
          <w:tcPr>
            <w:tcW w:w="562" w:type="dxa"/>
            <w:shd w:val="clear" w:color="auto" w:fill="D9D9D9" w:themeFill="background1" w:themeFillShade="D9"/>
          </w:tcPr>
          <w:p w14:paraId="3E65E374" w14:textId="77777777" w:rsidR="006702B7" w:rsidRPr="00153E1E" w:rsidRDefault="006702B7" w:rsidP="008A58BB">
            <w:pPr>
              <w:snapToGrid w:val="0"/>
              <w:spacing w:before="120" w:after="120"/>
              <w:rPr>
                <w:rFonts w:cstheme="minorHAnsi"/>
                <w:b/>
                <w:bCs/>
                <w:sz w:val="22"/>
                <w:szCs w:val="22"/>
              </w:rPr>
            </w:pPr>
          </w:p>
        </w:tc>
        <w:tc>
          <w:tcPr>
            <w:tcW w:w="7088" w:type="dxa"/>
            <w:shd w:val="clear" w:color="auto" w:fill="D9D9D9" w:themeFill="background1" w:themeFillShade="D9"/>
          </w:tcPr>
          <w:p w14:paraId="65D3BCDE" w14:textId="77777777" w:rsidR="006702B7" w:rsidRPr="00153E1E" w:rsidRDefault="006702B7" w:rsidP="008A58BB">
            <w:pPr>
              <w:snapToGrid w:val="0"/>
              <w:spacing w:before="120" w:after="120"/>
              <w:rPr>
                <w:rFonts w:cstheme="minorHAnsi"/>
                <w:b/>
                <w:bCs/>
                <w:sz w:val="22"/>
                <w:szCs w:val="22"/>
              </w:rPr>
            </w:pPr>
            <w:r w:rsidRPr="00153E1E">
              <w:rPr>
                <w:rFonts w:cstheme="minorHAnsi"/>
                <w:b/>
                <w:bCs/>
                <w:sz w:val="22"/>
                <w:szCs w:val="22"/>
              </w:rPr>
              <w:t>Total</w:t>
            </w:r>
          </w:p>
        </w:tc>
        <w:tc>
          <w:tcPr>
            <w:tcW w:w="1276" w:type="dxa"/>
            <w:shd w:val="clear" w:color="auto" w:fill="D9D9D9" w:themeFill="background1" w:themeFillShade="D9"/>
          </w:tcPr>
          <w:p w14:paraId="070187CA" w14:textId="77777777" w:rsidR="006702B7" w:rsidRPr="00153E1E" w:rsidRDefault="006702B7" w:rsidP="008A58BB">
            <w:pPr>
              <w:snapToGrid w:val="0"/>
              <w:spacing w:before="120" w:after="120"/>
              <w:jc w:val="center"/>
              <w:rPr>
                <w:rFonts w:cstheme="minorHAnsi"/>
                <w:b/>
                <w:bCs/>
                <w:sz w:val="22"/>
                <w:szCs w:val="22"/>
              </w:rPr>
            </w:pPr>
            <w:r w:rsidRPr="00153E1E">
              <w:rPr>
                <w:rFonts w:cstheme="minorHAnsi"/>
                <w:b/>
                <w:bCs/>
                <w:sz w:val="22"/>
                <w:szCs w:val="22"/>
              </w:rPr>
              <w:t>100</w:t>
            </w:r>
          </w:p>
        </w:tc>
      </w:tr>
    </w:tbl>
    <w:p w14:paraId="335E2D45" w14:textId="63CD321B" w:rsidR="006702B7" w:rsidRDefault="006702B7" w:rsidP="006702B7">
      <w:pPr>
        <w:rPr>
          <w:rFonts w:cstheme="minorHAnsi"/>
        </w:rPr>
      </w:pPr>
    </w:p>
    <w:p w14:paraId="52081EDB" w14:textId="77777777" w:rsidR="00ED3C3C" w:rsidRPr="00153E1E" w:rsidRDefault="00ED3C3C" w:rsidP="006702B7">
      <w:pPr>
        <w:rPr>
          <w:rFonts w:cstheme="minorHAnsi"/>
        </w:rPr>
      </w:pPr>
    </w:p>
    <w:p w14:paraId="130E8B0A" w14:textId="77777777" w:rsidR="00947F09" w:rsidRPr="00EF55EA" w:rsidRDefault="00947F09" w:rsidP="00904D63">
      <w:pPr>
        <w:pStyle w:val="NormalWeb"/>
        <w:numPr>
          <w:ilvl w:val="0"/>
          <w:numId w:val="26"/>
        </w:numPr>
        <w:snapToGrid w:val="0"/>
        <w:spacing w:before="120" w:beforeAutospacing="0" w:after="120" w:afterAutospacing="0" w:line="276" w:lineRule="auto"/>
        <w:jc w:val="both"/>
        <w:rPr>
          <w:rFonts w:asciiTheme="minorHAnsi" w:hAnsiTheme="minorHAnsi" w:cstheme="minorHAnsi"/>
          <w:b/>
          <w:bCs/>
          <w:sz w:val="22"/>
          <w:szCs w:val="22"/>
        </w:rPr>
      </w:pPr>
      <w:r w:rsidRPr="00EF55EA">
        <w:rPr>
          <w:rFonts w:asciiTheme="minorHAnsi" w:hAnsiTheme="minorHAnsi" w:cstheme="minorHAnsi"/>
          <w:b/>
          <w:bCs/>
          <w:sz w:val="22"/>
          <w:szCs w:val="22"/>
        </w:rPr>
        <w:t xml:space="preserve">DOCUMENTS DE COMPSOSITION DU DOSSIER DE CANDIDATURE </w:t>
      </w:r>
    </w:p>
    <w:tbl>
      <w:tblPr>
        <w:tblpPr w:leftFromText="141" w:rightFromText="141" w:vertAnchor="text" w:horzAnchor="margin" w:tblpXSpec="center" w:tblpY="299"/>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947F09" w:rsidRPr="00F429A4" w14:paraId="5046EEEA" w14:textId="77777777" w:rsidTr="006D4D98">
        <w:tc>
          <w:tcPr>
            <w:tcW w:w="10064" w:type="dxa"/>
          </w:tcPr>
          <w:p w14:paraId="2FF8AC6A" w14:textId="77777777" w:rsidR="00947F09" w:rsidRPr="0003495E" w:rsidRDefault="00947F09" w:rsidP="00345766">
            <w:pPr>
              <w:spacing w:before="60" w:after="60"/>
              <w:jc w:val="both"/>
              <w:rPr>
                <w:rFonts w:cstheme="minorHAnsi"/>
                <w:color w:val="000000"/>
                <w:lang w:val="fr-FR"/>
              </w:rPr>
            </w:pPr>
            <w:r w:rsidRPr="0003495E">
              <w:rPr>
                <w:rFonts w:cstheme="minorHAnsi"/>
                <w:color w:val="000000"/>
                <w:lang w:val="fr-FR"/>
              </w:rPr>
              <w:t>Les personnes intéressées devront envoyer un dossier de soumission comprenant les pièces suivantes :</w:t>
            </w:r>
          </w:p>
          <w:p w14:paraId="4D93A12B" w14:textId="77777777" w:rsidR="00947F09" w:rsidRPr="0003495E" w:rsidRDefault="00947F09" w:rsidP="00165219">
            <w:pPr>
              <w:pStyle w:val="Paragraphedeliste"/>
              <w:numPr>
                <w:ilvl w:val="0"/>
                <w:numId w:val="4"/>
              </w:numPr>
              <w:autoSpaceDE w:val="0"/>
              <w:autoSpaceDN w:val="0"/>
              <w:adjustRightInd w:val="0"/>
              <w:spacing w:after="0" w:line="240" w:lineRule="auto"/>
              <w:contextualSpacing w:val="0"/>
              <w:jc w:val="both"/>
              <w:rPr>
                <w:rFonts w:cstheme="minorHAnsi"/>
                <w:lang w:val="fr-FR"/>
              </w:rPr>
            </w:pPr>
            <w:r w:rsidRPr="0003495E">
              <w:rPr>
                <w:rStyle w:val="atendertext1"/>
                <w:rFonts w:asciiTheme="minorHAnsi" w:hAnsiTheme="minorHAnsi" w:cstheme="minorHAnsi"/>
                <w:b/>
                <w:bCs/>
                <w:lang w:val="fr-FR"/>
              </w:rPr>
              <w:t>Lettre de confirmation d'intérêt et de disponibilité</w:t>
            </w:r>
            <w:r w:rsidRPr="0003495E">
              <w:rPr>
                <w:rStyle w:val="atendertext1"/>
                <w:rFonts w:asciiTheme="minorHAnsi" w:hAnsiTheme="minorHAnsi" w:cstheme="minorHAnsi"/>
                <w:lang w:val="fr-FR"/>
              </w:rPr>
              <w:t xml:space="preserve"> en utilisant</w:t>
            </w:r>
            <w:r w:rsidRPr="0003495E">
              <w:rPr>
                <w:rFonts w:cstheme="minorHAnsi"/>
                <w:lang w:val="fr-FR"/>
              </w:rPr>
              <w:t xml:space="preserve"> </w:t>
            </w:r>
            <w:hyperlink r:id="rId9" w:history="1">
              <w:r w:rsidRPr="0003495E">
                <w:rPr>
                  <w:rStyle w:val="Lienhypertexte"/>
                  <w:rFonts w:cstheme="minorHAnsi"/>
                  <w:lang w:val="fr-FR"/>
                </w:rPr>
                <w:t>le</w:t>
              </w:r>
            </w:hyperlink>
            <w:r w:rsidRPr="0003495E">
              <w:rPr>
                <w:rStyle w:val="Lienhypertexte"/>
                <w:rFonts w:cstheme="minorHAnsi"/>
                <w:lang w:val="fr-FR"/>
              </w:rPr>
              <w:t xml:space="preserve"> modèle</w:t>
            </w:r>
            <w:r w:rsidRPr="0003495E">
              <w:rPr>
                <w:rStyle w:val="Appelnotedebasdep"/>
                <w:rFonts w:cstheme="minorHAnsi"/>
                <w:lang w:val="fr-FR"/>
              </w:rPr>
              <w:footnoteReference w:id="2"/>
            </w:r>
            <w:r w:rsidRPr="0003495E">
              <w:rPr>
                <w:rFonts w:cstheme="minorHAnsi"/>
                <w:lang w:val="fr-FR"/>
              </w:rPr>
              <w:t xml:space="preserve"> fourni par le PNUD ;</w:t>
            </w:r>
          </w:p>
          <w:p w14:paraId="339AC6D0" w14:textId="4750ACC8" w:rsidR="00947F09" w:rsidRPr="0003495E" w:rsidRDefault="00947F09" w:rsidP="00165219">
            <w:pPr>
              <w:pStyle w:val="Paragraphedeliste"/>
              <w:numPr>
                <w:ilvl w:val="0"/>
                <w:numId w:val="4"/>
              </w:numPr>
              <w:spacing w:before="60" w:after="60" w:line="240" w:lineRule="auto"/>
              <w:jc w:val="both"/>
              <w:rPr>
                <w:rStyle w:val="atendertext1"/>
                <w:rFonts w:asciiTheme="minorHAnsi" w:hAnsiTheme="minorHAnsi" w:cstheme="minorHAnsi"/>
                <w:lang w:val="fr-FR"/>
              </w:rPr>
            </w:pPr>
            <w:r w:rsidRPr="0003495E">
              <w:rPr>
                <w:rStyle w:val="atendertext1"/>
                <w:rFonts w:asciiTheme="minorHAnsi" w:hAnsiTheme="minorHAnsi" w:cstheme="minorHAnsi"/>
                <w:b/>
                <w:bCs/>
                <w:lang w:val="fr-FR"/>
              </w:rPr>
              <w:t>CV</w:t>
            </w:r>
            <w:r w:rsidRPr="0003495E">
              <w:rPr>
                <w:rStyle w:val="atendertext1"/>
                <w:rFonts w:asciiTheme="minorHAnsi" w:hAnsiTheme="minorHAnsi" w:cstheme="minorHAnsi"/>
                <w:lang w:val="fr-FR"/>
              </w:rPr>
              <w:t xml:space="preserve"> et </w:t>
            </w:r>
            <w:r w:rsidRPr="0003495E">
              <w:rPr>
                <w:rStyle w:val="atendertext1"/>
                <w:rFonts w:asciiTheme="minorHAnsi" w:hAnsiTheme="minorHAnsi" w:cstheme="minorHAnsi"/>
                <w:b/>
                <w:bCs/>
                <w:lang w:val="fr-FR"/>
              </w:rPr>
              <w:t>notice personnelle</w:t>
            </w:r>
            <w:r w:rsidRPr="0003495E">
              <w:rPr>
                <w:rStyle w:val="atendertext1"/>
                <w:rFonts w:asciiTheme="minorHAnsi" w:hAnsiTheme="minorHAnsi" w:cstheme="minorHAnsi"/>
                <w:lang w:val="fr-FR"/>
              </w:rPr>
              <w:t xml:space="preserve"> (formulaire </w:t>
            </w:r>
            <w:hyperlink r:id="rId10" w:tgtFrame="_blank" w:history="1">
              <w:r w:rsidRPr="0003495E">
                <w:rPr>
                  <w:rStyle w:val="Lienhypertexte"/>
                  <w:rFonts w:cstheme="minorHAnsi"/>
                  <w:lang w:val="fr-FR"/>
                </w:rPr>
                <w:t>P11) ;</w:t>
              </w:r>
            </w:hyperlink>
            <w:r w:rsidRPr="0003495E">
              <w:rPr>
                <w:rStyle w:val="Lienhypertexte"/>
                <w:rFonts w:cstheme="minorHAnsi"/>
                <w:lang w:val="fr-FR"/>
              </w:rPr>
              <w:t>)</w:t>
            </w:r>
            <w:r w:rsidRPr="0003495E">
              <w:rPr>
                <w:rFonts w:cstheme="minorHAnsi"/>
                <w:color w:val="000000"/>
                <w:lang w:val="fr-FR"/>
              </w:rPr>
              <w:t xml:space="preserve">établissant le niveau de formation exigé ainsi qu’une expérience dans des domaines de la consultance ou ceux similaires ainsi qu’un minimum de trois (3) références (adresse mail, téléphone, fonction, Ville/Pays et organisation). Le PNUD se </w:t>
            </w:r>
            <w:r w:rsidR="00B97A38" w:rsidRPr="0003495E">
              <w:rPr>
                <w:rFonts w:cstheme="minorHAnsi"/>
                <w:color w:val="000000"/>
                <w:lang w:val="fr-FR"/>
              </w:rPr>
              <w:t>réserve</w:t>
            </w:r>
            <w:r w:rsidRPr="0003495E">
              <w:rPr>
                <w:rFonts w:cstheme="minorHAnsi"/>
                <w:color w:val="000000"/>
                <w:lang w:val="fr-FR"/>
              </w:rPr>
              <w:t xml:space="preserve"> le droit de procéder à la </w:t>
            </w:r>
            <w:r w:rsidR="00B97A38" w:rsidRPr="0003495E">
              <w:rPr>
                <w:rFonts w:cstheme="minorHAnsi"/>
                <w:color w:val="000000"/>
                <w:lang w:val="fr-FR"/>
              </w:rPr>
              <w:t>vérification</w:t>
            </w:r>
            <w:r w:rsidRPr="0003495E">
              <w:rPr>
                <w:rFonts w:cstheme="minorHAnsi"/>
                <w:color w:val="000000"/>
                <w:lang w:val="fr-FR"/>
              </w:rPr>
              <w:t xml:space="preserve"> des informations </w:t>
            </w:r>
            <w:r w:rsidR="00A14810" w:rsidRPr="0003495E">
              <w:rPr>
                <w:rFonts w:cstheme="minorHAnsi"/>
                <w:color w:val="000000"/>
                <w:lang w:val="fr-FR"/>
              </w:rPr>
              <w:t xml:space="preserve">ainsi </w:t>
            </w:r>
            <w:r w:rsidR="005E7A43" w:rsidRPr="0003495E">
              <w:rPr>
                <w:rFonts w:cstheme="minorHAnsi"/>
                <w:color w:val="000000"/>
                <w:lang w:val="fr-FR"/>
              </w:rPr>
              <w:t>fournies ;</w:t>
            </w:r>
          </w:p>
          <w:p w14:paraId="53C9EB62" w14:textId="18712C58" w:rsidR="00947F09" w:rsidRPr="0003495E" w:rsidRDefault="004D739E" w:rsidP="00165219">
            <w:pPr>
              <w:pStyle w:val="Paragraphedeliste"/>
              <w:numPr>
                <w:ilvl w:val="0"/>
                <w:numId w:val="4"/>
              </w:numPr>
              <w:autoSpaceDE w:val="0"/>
              <w:autoSpaceDN w:val="0"/>
              <w:adjustRightInd w:val="0"/>
              <w:spacing w:after="0" w:line="240" w:lineRule="auto"/>
              <w:contextualSpacing w:val="0"/>
              <w:jc w:val="both"/>
              <w:rPr>
                <w:rFonts w:cstheme="minorHAnsi"/>
                <w:bCs/>
                <w:lang w:val="fr-FR"/>
              </w:rPr>
            </w:pPr>
            <w:r w:rsidRPr="004D739E">
              <w:rPr>
                <w:rFonts w:cstheme="minorHAnsi"/>
                <w:lang w:val="fr-FR"/>
              </w:rPr>
              <w:t xml:space="preserve">Une brève description de la méthodologie de travail et l’approche pour exécuter le travail selon les TDR </w:t>
            </w:r>
            <w:r w:rsidR="00947F09" w:rsidRPr="0003495E">
              <w:rPr>
                <w:rFonts w:cstheme="minorHAnsi"/>
                <w:bCs/>
                <w:lang w:val="fr-FR"/>
              </w:rPr>
              <w:t xml:space="preserve">; </w:t>
            </w:r>
          </w:p>
          <w:p w14:paraId="0457F5EF" w14:textId="77777777" w:rsidR="00947F09" w:rsidRPr="0003495E" w:rsidRDefault="00947F09" w:rsidP="00165219">
            <w:pPr>
              <w:pStyle w:val="Paragraphedeliste"/>
              <w:numPr>
                <w:ilvl w:val="0"/>
                <w:numId w:val="4"/>
              </w:numPr>
              <w:autoSpaceDE w:val="0"/>
              <w:autoSpaceDN w:val="0"/>
              <w:adjustRightInd w:val="0"/>
              <w:spacing w:after="0" w:line="240" w:lineRule="auto"/>
              <w:contextualSpacing w:val="0"/>
              <w:jc w:val="both"/>
              <w:rPr>
                <w:rStyle w:val="atendertext1"/>
                <w:rFonts w:asciiTheme="minorHAnsi" w:hAnsiTheme="minorHAnsi" w:cstheme="minorHAnsi"/>
                <w:lang w:val="fr-FR"/>
              </w:rPr>
            </w:pPr>
            <w:r w:rsidRPr="0003495E">
              <w:rPr>
                <w:rFonts w:cstheme="minorHAnsi"/>
                <w:b/>
                <w:lang w:val="fr-FR"/>
              </w:rPr>
              <w:t xml:space="preserve">Proposition financière </w:t>
            </w:r>
            <w:r w:rsidRPr="0003495E">
              <w:rPr>
                <w:rFonts w:cstheme="minorHAnsi"/>
                <w:bCs/>
                <w:lang w:val="fr-FR"/>
              </w:rPr>
              <w:t xml:space="preserve">Proposition financière indiquant le prix total forfaitaire du contrat et tous les autres frais liés au voyage (tels que les billets d'avion, les indemnités journalières, etc.), appuyée par une ventilation des coûts, conformément au modèle joint à la lettre </w:t>
            </w:r>
            <w:r w:rsidRPr="0003495E">
              <w:rPr>
                <w:rFonts w:cstheme="minorHAnsi"/>
                <w:lang w:val="fr-FR"/>
              </w:rPr>
              <w:t xml:space="preserve">de </w:t>
            </w:r>
            <w:hyperlink r:id="rId11" w:history="1">
              <w:r w:rsidRPr="0003495E">
                <w:rPr>
                  <w:rStyle w:val="Lienhypertexte"/>
                  <w:rFonts w:cstheme="minorHAnsi"/>
                  <w:lang w:val="fr-FR"/>
                </w:rPr>
                <w:t>confirmation d’intérêt.</w:t>
              </w:r>
            </w:hyperlink>
            <w:r w:rsidRPr="0003495E">
              <w:rPr>
                <w:rFonts w:cstheme="minorHAnsi"/>
                <w:lang w:val="fr-FR"/>
              </w:rPr>
              <w:t xml:space="preserve"> Si un candidat est employé par une organisation/entreprise/institution et qu'il s'attend à ce que son employeur lui facture des frais de gestion pour sa mise à disposition au PNUD dans le cadre d'un accord de prêt remboursable (de l’anglais RLA), le candidat doit indiquer, et s'assurer que tous ces coûts sont dûment incorporés dans la proposition financière soumise au PNUD.</w:t>
            </w:r>
          </w:p>
          <w:p w14:paraId="3D827172" w14:textId="77777777" w:rsidR="00947F09" w:rsidRPr="0003495E" w:rsidRDefault="00947F09" w:rsidP="00345766">
            <w:pPr>
              <w:pStyle w:val="Paragraphedeliste"/>
              <w:spacing w:before="60" w:after="60" w:line="240" w:lineRule="auto"/>
              <w:jc w:val="both"/>
              <w:rPr>
                <w:rFonts w:eastAsia="Times New Roman" w:cstheme="minorHAnsi"/>
                <w:lang w:val="fr-FR" w:eastAsia="fr-FR"/>
              </w:rPr>
            </w:pPr>
          </w:p>
        </w:tc>
      </w:tr>
    </w:tbl>
    <w:p w14:paraId="4C48724E" w14:textId="77777777" w:rsidR="00947F09" w:rsidRPr="0003495E" w:rsidRDefault="00947F09" w:rsidP="00947F09">
      <w:pPr>
        <w:suppressAutoHyphens/>
        <w:autoSpaceDN w:val="0"/>
        <w:spacing w:before="120" w:after="120" w:line="240" w:lineRule="auto"/>
        <w:jc w:val="both"/>
        <w:textAlignment w:val="baseline"/>
        <w:rPr>
          <w:rFonts w:cstheme="minorHAnsi"/>
          <w:b/>
          <w:color w:val="000000"/>
          <w:lang w:val="fr-FR"/>
        </w:rPr>
      </w:pPr>
    </w:p>
    <w:p w14:paraId="1255F860" w14:textId="77777777" w:rsidR="00947F09" w:rsidRPr="000C402E" w:rsidRDefault="00947F09" w:rsidP="00EF55EA">
      <w:pPr>
        <w:pStyle w:val="NormalWeb"/>
        <w:numPr>
          <w:ilvl w:val="0"/>
          <w:numId w:val="26"/>
        </w:numPr>
        <w:snapToGrid w:val="0"/>
        <w:spacing w:before="120" w:beforeAutospacing="0" w:after="120" w:afterAutospacing="0" w:line="276" w:lineRule="auto"/>
        <w:jc w:val="both"/>
        <w:rPr>
          <w:rFonts w:asciiTheme="minorHAnsi" w:hAnsiTheme="minorHAnsi" w:cstheme="minorHAnsi"/>
          <w:b/>
          <w:bCs/>
          <w:sz w:val="22"/>
          <w:szCs w:val="22"/>
        </w:rPr>
      </w:pPr>
      <w:r w:rsidRPr="000C402E">
        <w:rPr>
          <w:rFonts w:asciiTheme="minorHAnsi" w:hAnsiTheme="minorHAnsi" w:cstheme="minorHAnsi"/>
          <w:b/>
          <w:bCs/>
          <w:sz w:val="22"/>
          <w:szCs w:val="22"/>
        </w:rPr>
        <w:lastRenderedPageBreak/>
        <w:t>EVALUATION</w:t>
      </w:r>
    </w:p>
    <w:p w14:paraId="748A05FD" w14:textId="77777777" w:rsidR="00B57572" w:rsidRDefault="00B57572" w:rsidP="00947F09">
      <w:pPr>
        <w:spacing w:before="120" w:after="120"/>
        <w:jc w:val="both"/>
        <w:rPr>
          <w:rFonts w:cstheme="minorHAnsi"/>
          <w:color w:val="000000"/>
          <w:kern w:val="28"/>
          <w:lang w:val="fr-FR"/>
        </w:rPr>
      </w:pPr>
    </w:p>
    <w:p w14:paraId="7914D674" w14:textId="77777777" w:rsidR="00652D3B" w:rsidRPr="00ED3C3C" w:rsidRDefault="00652D3B" w:rsidP="00652D3B">
      <w:pPr>
        <w:rPr>
          <w:rFonts w:cstheme="minorHAnsi"/>
          <w:lang w:val="fr-FR"/>
        </w:rPr>
      </w:pPr>
      <w:r w:rsidRPr="00ED3C3C">
        <w:rPr>
          <w:rFonts w:cstheme="minorHAnsi"/>
          <w:lang w:val="fr-FR"/>
        </w:rPr>
        <w:t>Le soumissionnaire ayant soumis l’offre techniquement conforme et la moins disante sera retenu.</w:t>
      </w:r>
    </w:p>
    <w:p w14:paraId="708A593C" w14:textId="36AF75FB" w:rsidR="00947F09" w:rsidRPr="00ED3C3C" w:rsidRDefault="00947F09" w:rsidP="00A601A3">
      <w:pPr>
        <w:pStyle w:val="NormalWeb"/>
        <w:numPr>
          <w:ilvl w:val="1"/>
          <w:numId w:val="4"/>
        </w:numPr>
        <w:snapToGrid w:val="0"/>
        <w:spacing w:before="120" w:beforeAutospacing="0" w:after="120" w:afterAutospacing="0" w:line="276" w:lineRule="auto"/>
        <w:jc w:val="both"/>
        <w:rPr>
          <w:rFonts w:asciiTheme="minorHAnsi" w:hAnsiTheme="minorHAnsi" w:cstheme="minorHAnsi"/>
          <w:b/>
          <w:bCs/>
          <w:sz w:val="22"/>
          <w:szCs w:val="22"/>
        </w:rPr>
      </w:pPr>
      <w:r w:rsidRPr="00ED3C3C">
        <w:rPr>
          <w:rFonts w:asciiTheme="minorHAnsi" w:hAnsiTheme="minorHAnsi" w:cstheme="minorHAnsi"/>
          <w:b/>
          <w:bCs/>
          <w:sz w:val="22"/>
          <w:szCs w:val="22"/>
        </w:rPr>
        <w:t>Les propositions techniques</w:t>
      </w:r>
    </w:p>
    <w:p w14:paraId="068E358E" w14:textId="77777777" w:rsidR="00947F09" w:rsidRPr="00ED3C3C" w:rsidRDefault="00947F09" w:rsidP="00947F09">
      <w:pPr>
        <w:spacing w:before="120" w:after="120"/>
        <w:jc w:val="both"/>
        <w:rPr>
          <w:rFonts w:cstheme="minorHAnsi"/>
          <w:color w:val="000000"/>
          <w:kern w:val="28"/>
          <w:lang w:val="fr-FR"/>
        </w:rPr>
      </w:pPr>
      <w:r w:rsidRPr="00ED3C3C">
        <w:rPr>
          <w:rFonts w:cstheme="minorHAnsi"/>
          <w:color w:val="000000"/>
          <w:kern w:val="28"/>
          <w:lang w:val="fr-FR"/>
        </w:rPr>
        <w:t>Les propositions techniques sont évaluées sur la base des critères de compétence et de qualification définis dans les termes de référence.</w:t>
      </w:r>
    </w:p>
    <w:p w14:paraId="18A94BA6" w14:textId="7377DE65" w:rsidR="00947F09" w:rsidRPr="0003495E" w:rsidRDefault="00947F09" w:rsidP="00947F09">
      <w:pPr>
        <w:spacing w:before="120" w:after="120"/>
        <w:jc w:val="both"/>
        <w:rPr>
          <w:rFonts w:cstheme="minorHAnsi"/>
          <w:color w:val="000000"/>
          <w:kern w:val="28"/>
          <w:lang w:val="fr-FR"/>
        </w:rPr>
      </w:pPr>
      <w:r w:rsidRPr="00ED3C3C">
        <w:rPr>
          <w:rFonts w:cstheme="minorHAnsi"/>
          <w:color w:val="000000"/>
          <w:kern w:val="28"/>
          <w:lang w:val="fr-FR"/>
        </w:rPr>
        <w:t>Seront jugées techniquement qualifiées, les propositions techniques qui obtiendront 70% de la note maximale de 100 points </w:t>
      </w:r>
    </w:p>
    <w:p w14:paraId="31C7E896" w14:textId="77777777" w:rsidR="00947F09" w:rsidRPr="00DA2EE4" w:rsidRDefault="00947F09" w:rsidP="00A601A3">
      <w:pPr>
        <w:pStyle w:val="NormalWeb"/>
        <w:numPr>
          <w:ilvl w:val="1"/>
          <w:numId w:val="4"/>
        </w:numPr>
        <w:snapToGrid w:val="0"/>
        <w:spacing w:before="120" w:beforeAutospacing="0" w:after="120" w:afterAutospacing="0" w:line="276" w:lineRule="auto"/>
        <w:jc w:val="both"/>
        <w:rPr>
          <w:rFonts w:asciiTheme="minorHAnsi" w:hAnsiTheme="minorHAnsi" w:cstheme="minorHAnsi"/>
          <w:b/>
          <w:bCs/>
          <w:sz w:val="22"/>
          <w:szCs w:val="22"/>
        </w:rPr>
      </w:pPr>
      <w:r w:rsidRPr="00DA2EE4">
        <w:rPr>
          <w:rFonts w:asciiTheme="minorHAnsi" w:hAnsiTheme="minorHAnsi" w:cstheme="minorHAnsi"/>
          <w:b/>
          <w:bCs/>
          <w:sz w:val="22"/>
          <w:szCs w:val="22"/>
        </w:rPr>
        <w:t>Les propositions financières</w:t>
      </w:r>
    </w:p>
    <w:p w14:paraId="712A4E24" w14:textId="77777777" w:rsidR="00C23FA9" w:rsidRDefault="00C23FA9" w:rsidP="00C23FA9">
      <w:pPr>
        <w:jc w:val="both"/>
        <w:rPr>
          <w:rFonts w:eastAsia="Times New Roman"/>
          <w:bCs/>
          <w:lang w:val="fr-FR" w:eastAsia="rw-RW"/>
        </w:rPr>
      </w:pPr>
      <w:r w:rsidRPr="00C23FA9">
        <w:rPr>
          <w:rFonts w:eastAsia="Times New Roman"/>
          <w:bCs/>
          <w:lang w:val="fr-FR" w:eastAsia="rw-RW"/>
        </w:rPr>
        <w:t>Le/la Consultant (e) fait sa proposition financière suivant le Tableau des coûts. Il doit proposer un montant forfaitaire et présenter dans le Tableau des coûts la ventilation de ce montant forfaitaire.</w:t>
      </w:r>
    </w:p>
    <w:p w14:paraId="77991216" w14:textId="388CBF17" w:rsidR="00947F09" w:rsidRDefault="00947F09" w:rsidP="00947F09">
      <w:pPr>
        <w:spacing w:before="120" w:after="120"/>
        <w:jc w:val="both"/>
        <w:rPr>
          <w:rFonts w:cstheme="minorHAnsi"/>
          <w:color w:val="000000"/>
          <w:kern w:val="28"/>
          <w:lang w:val="fr-FR"/>
        </w:rPr>
      </w:pPr>
      <w:r w:rsidRPr="0003495E">
        <w:rPr>
          <w:rFonts w:cstheme="minorHAnsi"/>
          <w:color w:val="000000"/>
          <w:kern w:val="28"/>
          <w:lang w:val="fr-FR"/>
        </w:rPr>
        <w:t>Seules les offres financières des candidat (e) s techniquement qualifié (e)s seront évaluées.</w:t>
      </w:r>
    </w:p>
    <w:p w14:paraId="0A8BA439" w14:textId="2A27C5D2" w:rsidR="00265D54" w:rsidRDefault="00265D54" w:rsidP="00947F09">
      <w:pPr>
        <w:spacing w:before="120" w:after="120"/>
        <w:jc w:val="both"/>
        <w:rPr>
          <w:rFonts w:cstheme="minorHAnsi"/>
          <w:color w:val="000000"/>
          <w:kern w:val="28"/>
          <w:lang w:val="fr-FR"/>
        </w:rPr>
      </w:pPr>
    </w:p>
    <w:p w14:paraId="7DF406D0" w14:textId="77777777" w:rsidR="00265D54" w:rsidRPr="003C0E5E" w:rsidRDefault="00265D54" w:rsidP="00265D54">
      <w:pPr>
        <w:spacing w:after="0" w:line="240" w:lineRule="auto"/>
        <w:jc w:val="both"/>
        <w:rPr>
          <w:rFonts w:eastAsia="Times New Roman"/>
          <w:b/>
          <w:u w:val="single"/>
          <w:lang w:eastAsia="rw-RW"/>
        </w:rPr>
      </w:pPr>
      <w:r w:rsidRPr="003C0E5E">
        <w:rPr>
          <w:rFonts w:eastAsia="Times New Roman"/>
          <w:b/>
          <w:u w:val="single"/>
          <w:lang w:eastAsia="rw-RW"/>
        </w:rPr>
        <w:t xml:space="preserve">Contractualisation </w:t>
      </w:r>
    </w:p>
    <w:p w14:paraId="15B65D11" w14:textId="77777777" w:rsidR="00265D54" w:rsidRPr="003C0E5E" w:rsidRDefault="00265D54" w:rsidP="00265D54">
      <w:pPr>
        <w:spacing w:after="0" w:line="240" w:lineRule="auto"/>
        <w:jc w:val="both"/>
        <w:rPr>
          <w:rFonts w:eastAsia="Times New Roman"/>
          <w:b/>
          <w:lang w:eastAsia="rw-RW"/>
        </w:rPr>
      </w:pPr>
    </w:p>
    <w:p w14:paraId="101D0043" w14:textId="77777777" w:rsidR="00265D54" w:rsidRPr="00265D54" w:rsidRDefault="00265D54" w:rsidP="00265D54">
      <w:pPr>
        <w:numPr>
          <w:ilvl w:val="0"/>
          <w:numId w:val="39"/>
        </w:numPr>
        <w:spacing w:after="0" w:line="240" w:lineRule="auto"/>
        <w:jc w:val="both"/>
        <w:rPr>
          <w:rFonts w:eastAsia="Times New Roman"/>
          <w:lang w:val="fr-FR" w:eastAsia="rw-RW"/>
        </w:rPr>
      </w:pPr>
      <w:r w:rsidRPr="00265D54">
        <w:rPr>
          <w:rFonts w:eastAsia="Times New Roman"/>
          <w:lang w:val="fr-FR" w:eastAsia="rw-RW"/>
        </w:rPr>
        <w:t xml:space="preserve">Un </w:t>
      </w:r>
      <w:r w:rsidRPr="00265D54">
        <w:rPr>
          <w:rFonts w:eastAsia="Times New Roman"/>
          <w:b/>
          <w:i/>
          <w:lang w:val="fr-FR" w:eastAsia="rw-RW"/>
        </w:rPr>
        <w:t>Contrat Individuel</w:t>
      </w:r>
      <w:r w:rsidRPr="00265D54">
        <w:rPr>
          <w:rFonts w:eastAsia="Times New Roman"/>
          <w:lang w:val="fr-FR" w:eastAsia="rw-RW"/>
        </w:rPr>
        <w:t xml:space="preserve"> sera signé directement avec le consultant identifié.</w:t>
      </w:r>
    </w:p>
    <w:p w14:paraId="439FCED3" w14:textId="77777777" w:rsidR="00265D54" w:rsidRPr="00265D54" w:rsidRDefault="00265D54" w:rsidP="00265D54">
      <w:pPr>
        <w:spacing w:after="0" w:line="240" w:lineRule="auto"/>
        <w:jc w:val="both"/>
        <w:rPr>
          <w:rFonts w:eastAsia="Times New Roman"/>
          <w:bCs/>
          <w:lang w:val="fr-FR" w:eastAsia="rw-RW"/>
        </w:rPr>
      </w:pPr>
    </w:p>
    <w:p w14:paraId="64CE4F3D" w14:textId="77777777" w:rsidR="00265D54" w:rsidRPr="00265D54" w:rsidRDefault="00265D54" w:rsidP="00265D54">
      <w:pPr>
        <w:numPr>
          <w:ilvl w:val="0"/>
          <w:numId w:val="39"/>
        </w:numPr>
        <w:spacing w:after="0" w:line="240" w:lineRule="auto"/>
        <w:jc w:val="both"/>
        <w:rPr>
          <w:rFonts w:eastAsia="Times New Roman"/>
          <w:lang w:val="fr-FR" w:eastAsia="rw-RW"/>
        </w:rPr>
      </w:pPr>
      <w:r w:rsidRPr="00265D54">
        <w:rPr>
          <w:rFonts w:eastAsia="Times New Roman"/>
          <w:lang w:val="fr-FR" w:eastAsia="rw-RW"/>
        </w:rPr>
        <w:t>Ou encore, à la demande du consultant identifié telle qu’il va le mentionner dans la lettre d’offre, un contrat “</w:t>
      </w:r>
      <w:r w:rsidRPr="00265D54">
        <w:rPr>
          <w:rFonts w:eastAsia="Times New Roman"/>
          <w:b/>
          <w:i/>
          <w:lang w:val="fr-FR" w:eastAsia="rw-RW"/>
        </w:rPr>
        <w:t>Reimbursable Loan Agreement</w:t>
      </w:r>
      <w:r w:rsidRPr="00265D54">
        <w:rPr>
          <w:rFonts w:eastAsia="Times New Roman"/>
          <w:lang w:val="fr-FR" w:eastAsia="rw-RW"/>
        </w:rPr>
        <w:t xml:space="preserve">” (RLA) sera signé directement avec la firme (ou cabinet ou structure) dont il va transmettre les coordonnées et documents s’il se trouve être employé régulièrement par cette firme au moment de la contractualisation avec le PNUD.  </w:t>
      </w:r>
    </w:p>
    <w:p w14:paraId="59C2C827" w14:textId="77777777" w:rsidR="00265D54" w:rsidRPr="00265D54" w:rsidRDefault="00265D54" w:rsidP="00265D54">
      <w:pPr>
        <w:spacing w:after="0" w:line="240" w:lineRule="auto"/>
        <w:jc w:val="both"/>
        <w:rPr>
          <w:rFonts w:eastAsia="Times New Roman"/>
          <w:b/>
          <w:sz w:val="20"/>
          <w:szCs w:val="20"/>
          <w:lang w:val="fr-FR" w:eastAsia="rw-RW"/>
        </w:rPr>
      </w:pPr>
    </w:p>
    <w:p w14:paraId="208556B6" w14:textId="77777777" w:rsidR="00265D54" w:rsidRPr="003C0E5E" w:rsidRDefault="00265D54" w:rsidP="00265D54">
      <w:pPr>
        <w:pStyle w:val="Retraitcorpsdetexte"/>
        <w:ind w:left="0"/>
        <w:jc w:val="both"/>
        <w:rPr>
          <w:rFonts w:ascii="Calibri" w:hAnsi="Calibri"/>
          <w:b/>
          <w:i/>
          <w:sz w:val="22"/>
          <w:szCs w:val="22"/>
          <w:u w:val="single"/>
        </w:rPr>
      </w:pPr>
      <w:r w:rsidRPr="003C0E5E">
        <w:rPr>
          <w:rFonts w:ascii="Calibri" w:hAnsi="Calibri"/>
          <w:b/>
          <w:i/>
          <w:sz w:val="22"/>
          <w:szCs w:val="22"/>
          <w:u w:val="single"/>
        </w:rPr>
        <w:t xml:space="preserve">N.B. : </w:t>
      </w:r>
    </w:p>
    <w:p w14:paraId="365C5617" w14:textId="77777777" w:rsidR="00265D54" w:rsidRPr="003C0E5E" w:rsidRDefault="00265D54" w:rsidP="00265D54">
      <w:pPr>
        <w:pStyle w:val="Retraitcorpsdetexte"/>
        <w:ind w:left="0"/>
        <w:jc w:val="both"/>
        <w:rPr>
          <w:rFonts w:ascii="Calibri" w:hAnsi="Calibri"/>
          <w:b/>
          <w:i/>
          <w:sz w:val="22"/>
          <w:szCs w:val="22"/>
          <w:u w:val="single"/>
        </w:rPr>
      </w:pPr>
    </w:p>
    <w:p w14:paraId="0F5F7F42" w14:textId="3A49D7EB" w:rsidR="00265D54" w:rsidRPr="003C0E5E" w:rsidRDefault="00265D54" w:rsidP="00265D54">
      <w:pPr>
        <w:pStyle w:val="Retraitcorpsdetexte"/>
        <w:ind w:left="0"/>
        <w:rPr>
          <w:rFonts w:ascii="Calibri" w:hAnsi="Calibri"/>
          <w:sz w:val="22"/>
          <w:szCs w:val="22"/>
        </w:rPr>
      </w:pPr>
      <w:r w:rsidRPr="003C0E5E">
        <w:rPr>
          <w:rFonts w:ascii="Calibri" w:hAnsi="Calibri"/>
          <w:sz w:val="22"/>
          <w:szCs w:val="22"/>
        </w:rPr>
        <w:t xml:space="preserve">Les consultants sont tenus de lire et d’accepter les </w:t>
      </w:r>
      <w:hyperlink r:id="rId12" w:history="1">
        <w:r w:rsidRPr="003C0E5E">
          <w:rPr>
            <w:rFonts w:ascii="Calibri" w:hAnsi="Calibri"/>
            <w:sz w:val="22"/>
            <w:szCs w:val="22"/>
          </w:rPr>
          <w:t>Conditions Générales des Contrats Individuels</w:t>
        </w:r>
      </w:hyperlink>
      <w:r w:rsidRPr="003C0E5E">
        <w:rPr>
          <w:rFonts w:ascii="Calibri" w:hAnsi="Calibri"/>
          <w:sz w:val="22"/>
          <w:szCs w:val="22"/>
        </w:rPr>
        <w:t xml:space="preserve"> (annexe </w:t>
      </w:r>
      <w:r w:rsidR="00D441D8">
        <w:rPr>
          <w:rFonts w:ascii="Calibri" w:hAnsi="Calibri"/>
          <w:sz w:val="22"/>
          <w:szCs w:val="22"/>
        </w:rPr>
        <w:t>2</w:t>
      </w:r>
      <w:r w:rsidRPr="003C0E5E">
        <w:rPr>
          <w:rFonts w:ascii="Calibri" w:hAnsi="Calibri"/>
          <w:sz w:val="22"/>
          <w:szCs w:val="22"/>
        </w:rPr>
        <w:t xml:space="preserve">). </w:t>
      </w:r>
    </w:p>
    <w:p w14:paraId="61BE9279" w14:textId="77777777" w:rsidR="00991E1B" w:rsidRPr="00F429A4" w:rsidRDefault="00991E1B" w:rsidP="00991E1B">
      <w:pPr>
        <w:spacing w:line="240" w:lineRule="auto"/>
        <w:jc w:val="both"/>
        <w:rPr>
          <w:b/>
          <w:u w:val="single"/>
          <w:lang w:val="fr-FR"/>
        </w:rPr>
      </w:pPr>
    </w:p>
    <w:p w14:paraId="3A59B3CD" w14:textId="799EF233" w:rsidR="00991E1B" w:rsidRPr="00991E1B" w:rsidRDefault="00991E1B" w:rsidP="00991E1B">
      <w:pPr>
        <w:spacing w:line="240" w:lineRule="auto"/>
        <w:jc w:val="both"/>
        <w:rPr>
          <w:b/>
          <w:u w:val="single"/>
          <w:lang w:val="fr-FR"/>
        </w:rPr>
      </w:pPr>
      <w:r w:rsidRPr="00991E1B">
        <w:rPr>
          <w:b/>
          <w:u w:val="single"/>
          <w:lang w:val="fr-FR"/>
        </w:rPr>
        <w:t>ANNEXES (1,2,3,4 et 5)</w:t>
      </w:r>
    </w:p>
    <w:p w14:paraId="52DCDC16" w14:textId="77777777" w:rsidR="00265D54" w:rsidRPr="0003495E" w:rsidRDefault="00265D54" w:rsidP="00947F09">
      <w:pPr>
        <w:spacing w:before="120" w:after="120"/>
        <w:jc w:val="both"/>
        <w:rPr>
          <w:rFonts w:cstheme="minorHAnsi"/>
          <w:color w:val="000000"/>
          <w:kern w:val="28"/>
          <w:lang w:val="fr-FR"/>
        </w:rPr>
      </w:pPr>
    </w:p>
    <w:p w14:paraId="77E803FD" w14:textId="77777777" w:rsidR="00947F09" w:rsidRPr="0003495E" w:rsidRDefault="00947F09" w:rsidP="00947F09">
      <w:pPr>
        <w:spacing w:before="120" w:after="120"/>
        <w:jc w:val="both"/>
        <w:rPr>
          <w:rFonts w:cstheme="minorHAnsi"/>
          <w:color w:val="000000"/>
          <w:kern w:val="28"/>
          <w:lang w:val="fr-FR"/>
        </w:rPr>
      </w:pPr>
    </w:p>
    <w:p w14:paraId="36CD88A0" w14:textId="7AF2A6A4" w:rsidR="00EE00EB" w:rsidRPr="0003495E" w:rsidRDefault="00EE00EB" w:rsidP="008A62BE">
      <w:pPr>
        <w:tabs>
          <w:tab w:val="left" w:pos="1575"/>
        </w:tabs>
        <w:spacing w:after="0" w:line="240" w:lineRule="auto"/>
        <w:rPr>
          <w:rFonts w:cstheme="minorHAnsi"/>
          <w:b/>
          <w:lang w:val="fr-FR"/>
        </w:rPr>
      </w:pPr>
      <w:r w:rsidRPr="0003495E">
        <w:rPr>
          <w:rFonts w:cstheme="minorHAnsi"/>
          <w:b/>
          <w:lang w:val="fr-FR"/>
        </w:rPr>
        <w:t>Annexe 1- TERMES DE RÉFÉRENCE</w:t>
      </w:r>
    </w:p>
    <w:p w14:paraId="49EFEE4B" w14:textId="1A25A8E3" w:rsidR="00531D09" w:rsidRPr="0003495E" w:rsidRDefault="002041D8" w:rsidP="008A62BE">
      <w:pPr>
        <w:tabs>
          <w:tab w:val="left" w:pos="1575"/>
        </w:tabs>
        <w:spacing w:after="0" w:line="240" w:lineRule="auto"/>
        <w:rPr>
          <w:rFonts w:cstheme="minorHAnsi"/>
          <w:b/>
          <w:lang w:val="fr-FR"/>
        </w:rPr>
      </w:pPr>
      <w:r>
        <w:object w:dxaOrig="1534" w:dyaOrig="997" w14:anchorId="65F8F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Word.Document.12" ShapeID="_x0000_i1025" DrawAspect="Icon" ObjectID="_1692428099" r:id="rId14">
            <o:FieldCodes>\s</o:FieldCodes>
          </o:OLEObject>
        </w:object>
      </w:r>
    </w:p>
    <w:p w14:paraId="05FF3839" w14:textId="74B95D1B" w:rsidR="00EE00EB" w:rsidRPr="0003495E" w:rsidRDefault="00EE00EB" w:rsidP="008A62BE">
      <w:pPr>
        <w:tabs>
          <w:tab w:val="left" w:pos="1575"/>
        </w:tabs>
        <w:spacing w:after="0" w:line="240" w:lineRule="auto"/>
        <w:rPr>
          <w:rFonts w:cstheme="minorHAnsi"/>
          <w:b/>
          <w:lang w:val="fr-FR"/>
        </w:rPr>
      </w:pPr>
      <w:r w:rsidRPr="0003495E">
        <w:rPr>
          <w:rFonts w:cstheme="minorHAnsi"/>
          <w:b/>
          <w:lang w:val="fr-FR"/>
        </w:rPr>
        <w:t>Annexe 2- CONDITIONS GÉNÉRALES RELATIVES AUX CONSULTANTS INDIVIDUELS.</w:t>
      </w:r>
    </w:p>
    <w:p w14:paraId="0635C61B" w14:textId="6EFD261D" w:rsidR="00531D09" w:rsidRPr="0003495E" w:rsidRDefault="00531D09" w:rsidP="008A62BE">
      <w:pPr>
        <w:tabs>
          <w:tab w:val="left" w:pos="1575"/>
        </w:tabs>
        <w:spacing w:after="0" w:line="240" w:lineRule="auto"/>
        <w:rPr>
          <w:rFonts w:cstheme="minorHAnsi"/>
          <w:b/>
          <w:lang w:val="fr-FR"/>
        </w:rPr>
      </w:pPr>
      <w:r w:rsidRPr="0003495E">
        <w:rPr>
          <w:rFonts w:cstheme="minorHAnsi"/>
        </w:rPr>
        <w:object w:dxaOrig="1534" w:dyaOrig="997" w14:anchorId="619D6A20">
          <v:shape id="_x0000_i1026" type="#_x0000_t75" style="width:76.5pt;height:49.5pt" o:ole="">
            <v:imagedata r:id="rId15" o:title=""/>
          </v:shape>
          <o:OLEObject Type="Embed" ProgID="Word.Document.12" ShapeID="_x0000_i1026" DrawAspect="Icon" ObjectID="_1692428100" r:id="rId16">
            <o:FieldCodes>\s</o:FieldCodes>
          </o:OLEObject>
        </w:object>
      </w:r>
    </w:p>
    <w:p w14:paraId="2B1C8ADF" w14:textId="00AC143C" w:rsidR="00EE00EB" w:rsidRPr="0003495E" w:rsidRDefault="00EE00EB" w:rsidP="008A62BE">
      <w:pPr>
        <w:tabs>
          <w:tab w:val="left" w:pos="1575"/>
        </w:tabs>
        <w:spacing w:after="0" w:line="240" w:lineRule="auto"/>
        <w:rPr>
          <w:rFonts w:cstheme="minorHAnsi"/>
          <w:b/>
          <w:lang w:val="fr-FR"/>
        </w:rPr>
      </w:pPr>
      <w:r w:rsidRPr="0003495E">
        <w:rPr>
          <w:rFonts w:cstheme="minorHAnsi"/>
          <w:b/>
          <w:lang w:val="fr-FR"/>
        </w:rPr>
        <w:t xml:space="preserve"> Annexe 3 - LETTRE DE SOUMISSION AU PNUD </w:t>
      </w:r>
    </w:p>
    <w:bookmarkStart w:id="1" w:name="_MON_1692192216"/>
    <w:bookmarkEnd w:id="1"/>
    <w:p w14:paraId="6490F246" w14:textId="2328A9AA" w:rsidR="00531D09" w:rsidRPr="0003495E" w:rsidRDefault="004F58B9" w:rsidP="008A62BE">
      <w:pPr>
        <w:tabs>
          <w:tab w:val="left" w:pos="1575"/>
        </w:tabs>
        <w:spacing w:after="0" w:line="240" w:lineRule="auto"/>
        <w:rPr>
          <w:rFonts w:cstheme="minorHAnsi"/>
          <w:b/>
          <w:lang w:val="fr-FR"/>
        </w:rPr>
      </w:pPr>
      <w:r w:rsidRPr="0003495E">
        <w:rPr>
          <w:rFonts w:cstheme="minorHAnsi"/>
        </w:rPr>
        <w:object w:dxaOrig="1534" w:dyaOrig="997" w14:anchorId="6C5E184C">
          <v:shape id="_x0000_i1027" type="#_x0000_t75" style="width:76.5pt;height:49.5pt" o:ole="">
            <v:imagedata r:id="rId17" o:title=""/>
          </v:shape>
          <o:OLEObject Type="Embed" ProgID="Word.Document.12" ShapeID="_x0000_i1027" DrawAspect="Icon" ObjectID="_1692428101" r:id="rId18">
            <o:FieldCodes>\s</o:FieldCodes>
          </o:OLEObject>
        </w:object>
      </w:r>
    </w:p>
    <w:p w14:paraId="01084E47" w14:textId="0264E503" w:rsidR="00EE00EB" w:rsidRPr="0003495E" w:rsidRDefault="00EE00EB" w:rsidP="008A62BE">
      <w:pPr>
        <w:tabs>
          <w:tab w:val="left" w:pos="1575"/>
        </w:tabs>
        <w:spacing w:after="0" w:line="240" w:lineRule="auto"/>
        <w:rPr>
          <w:rFonts w:cstheme="minorHAnsi"/>
          <w:b/>
          <w:lang w:val="fr-FR"/>
        </w:rPr>
      </w:pPr>
      <w:r w:rsidRPr="0003495E">
        <w:rPr>
          <w:rFonts w:cstheme="minorHAnsi"/>
          <w:b/>
          <w:lang w:val="fr-FR"/>
        </w:rPr>
        <w:t xml:space="preserve">Annexe 4- Tableau des coûts </w:t>
      </w:r>
    </w:p>
    <w:bookmarkStart w:id="2" w:name="_MON_1692192209"/>
    <w:bookmarkEnd w:id="2"/>
    <w:p w14:paraId="73B25D42" w14:textId="694C30C3" w:rsidR="00531D09" w:rsidRPr="0003495E" w:rsidRDefault="00531D09" w:rsidP="008A62BE">
      <w:pPr>
        <w:tabs>
          <w:tab w:val="left" w:pos="1575"/>
        </w:tabs>
        <w:spacing w:after="0" w:line="240" w:lineRule="auto"/>
        <w:rPr>
          <w:rFonts w:cstheme="minorHAnsi"/>
          <w:b/>
          <w:lang w:val="fr-FR"/>
        </w:rPr>
      </w:pPr>
      <w:r w:rsidRPr="0003495E">
        <w:rPr>
          <w:rFonts w:cstheme="minorHAnsi"/>
        </w:rPr>
        <w:object w:dxaOrig="1534" w:dyaOrig="997" w14:anchorId="3379F8D7">
          <v:shape id="_x0000_i1028" type="#_x0000_t75" style="width:76.5pt;height:49.5pt" o:ole="">
            <v:imagedata r:id="rId19" o:title=""/>
          </v:shape>
          <o:OLEObject Type="Embed" ProgID="Word.Document.12" ShapeID="_x0000_i1028" DrawAspect="Icon" ObjectID="_1692428102" r:id="rId20">
            <o:FieldCodes>\s</o:FieldCodes>
          </o:OLEObject>
        </w:object>
      </w:r>
    </w:p>
    <w:p w14:paraId="36AFB549" w14:textId="36430E1A" w:rsidR="00EE00EB" w:rsidRPr="0003495E" w:rsidRDefault="00EE00EB" w:rsidP="008A62BE">
      <w:pPr>
        <w:tabs>
          <w:tab w:val="left" w:pos="1575"/>
        </w:tabs>
        <w:spacing w:after="0" w:line="240" w:lineRule="auto"/>
        <w:rPr>
          <w:rFonts w:cstheme="minorHAnsi"/>
          <w:b/>
          <w:lang w:val="fr-FR"/>
        </w:rPr>
      </w:pPr>
      <w:r w:rsidRPr="0003495E">
        <w:rPr>
          <w:rFonts w:cstheme="minorHAnsi"/>
          <w:b/>
          <w:lang w:val="fr-FR"/>
        </w:rPr>
        <w:t xml:space="preserve">Annexe 5 – P11 ( IC) </w:t>
      </w:r>
    </w:p>
    <w:p w14:paraId="762EC9EE" w14:textId="6AB4F2EE" w:rsidR="00531D09" w:rsidRPr="0003495E" w:rsidRDefault="00531D09" w:rsidP="008A62BE">
      <w:pPr>
        <w:tabs>
          <w:tab w:val="left" w:pos="1575"/>
        </w:tabs>
        <w:spacing w:after="0" w:line="240" w:lineRule="auto"/>
        <w:rPr>
          <w:rFonts w:cstheme="minorHAnsi"/>
          <w:b/>
          <w:lang w:val="fr-FR"/>
        </w:rPr>
      </w:pPr>
      <w:r w:rsidRPr="0003495E">
        <w:rPr>
          <w:rFonts w:cstheme="minorHAnsi"/>
        </w:rPr>
        <w:object w:dxaOrig="1534" w:dyaOrig="997" w14:anchorId="7767F87E">
          <v:shape id="_x0000_i1029" type="#_x0000_t75" style="width:76.5pt;height:49.5pt" o:ole="">
            <v:imagedata r:id="rId21" o:title=""/>
          </v:shape>
          <o:OLEObject Type="Embed" ProgID="Word.Document.8" ShapeID="_x0000_i1029" DrawAspect="Icon" ObjectID="_1692428103" r:id="rId22">
            <o:FieldCodes>\s</o:FieldCodes>
          </o:OLEObject>
        </w:object>
      </w:r>
    </w:p>
    <w:p w14:paraId="0DCA93E8" w14:textId="3AD889B9" w:rsidR="00EE00EB" w:rsidRPr="0003495E" w:rsidRDefault="00EE00EB" w:rsidP="008A62BE">
      <w:pPr>
        <w:tabs>
          <w:tab w:val="left" w:pos="1575"/>
        </w:tabs>
        <w:spacing w:after="0" w:line="240" w:lineRule="auto"/>
        <w:rPr>
          <w:rFonts w:cstheme="minorHAnsi"/>
          <w:b/>
        </w:rPr>
      </w:pPr>
      <w:r w:rsidRPr="0003495E">
        <w:rPr>
          <w:rFonts w:cstheme="minorHAnsi"/>
          <w:b/>
        </w:rPr>
        <w:t>Annexe 6- Type de contrat</w:t>
      </w:r>
    </w:p>
    <w:p w14:paraId="20286250" w14:textId="5D0098CC" w:rsidR="00531D09" w:rsidRPr="0003495E" w:rsidRDefault="00531D09" w:rsidP="008A62BE">
      <w:pPr>
        <w:tabs>
          <w:tab w:val="left" w:pos="1575"/>
        </w:tabs>
        <w:spacing w:after="0" w:line="240" w:lineRule="auto"/>
        <w:rPr>
          <w:rFonts w:cstheme="minorHAnsi"/>
          <w:b/>
        </w:rPr>
      </w:pPr>
      <w:r w:rsidRPr="0003495E">
        <w:rPr>
          <w:rFonts w:cstheme="minorHAnsi"/>
        </w:rPr>
        <w:object w:dxaOrig="1534" w:dyaOrig="997" w14:anchorId="72E1D6F6">
          <v:shape id="_x0000_i1030" type="#_x0000_t75" style="width:76.5pt;height:49.5pt" o:ole="">
            <v:imagedata r:id="rId23" o:title=""/>
          </v:shape>
          <o:OLEObject Type="Embed" ProgID="Word.Document.12" ShapeID="_x0000_i1030" DrawAspect="Icon" ObjectID="_1692428104" r:id="rId24">
            <o:FieldCodes>\s</o:FieldCodes>
          </o:OLEObject>
        </w:object>
      </w:r>
    </w:p>
    <w:p w14:paraId="28CFE336" w14:textId="4A4C5859" w:rsidR="00EE00EB" w:rsidRPr="0003495E" w:rsidRDefault="00EE00EB" w:rsidP="00947F09">
      <w:pPr>
        <w:tabs>
          <w:tab w:val="center" w:pos="4536"/>
          <w:tab w:val="right" w:pos="9072"/>
        </w:tabs>
        <w:ind w:right="419"/>
        <w:jc w:val="both"/>
        <w:rPr>
          <w:rFonts w:eastAsia="Cambria" w:cstheme="minorHAnsi"/>
          <w:b/>
          <w:bCs/>
          <w:u w:val="single"/>
          <w:lang w:val="fr-FR"/>
        </w:rPr>
      </w:pPr>
    </w:p>
    <w:p w14:paraId="6DE61DFA" w14:textId="3019033F" w:rsidR="00EE00EB" w:rsidRPr="0003495E" w:rsidRDefault="00EE00EB" w:rsidP="00947F09">
      <w:pPr>
        <w:tabs>
          <w:tab w:val="center" w:pos="4536"/>
          <w:tab w:val="right" w:pos="9072"/>
        </w:tabs>
        <w:ind w:right="419"/>
        <w:jc w:val="both"/>
        <w:rPr>
          <w:rFonts w:eastAsia="Cambria" w:cstheme="minorHAnsi"/>
          <w:b/>
          <w:bCs/>
          <w:u w:val="single"/>
          <w:lang w:val="fr-FR"/>
        </w:rPr>
      </w:pPr>
    </w:p>
    <w:p w14:paraId="4A9E5271" w14:textId="77777777" w:rsidR="00EE00EB" w:rsidRPr="0003495E" w:rsidRDefault="00EE00EB" w:rsidP="00947F09">
      <w:pPr>
        <w:tabs>
          <w:tab w:val="center" w:pos="4536"/>
          <w:tab w:val="right" w:pos="9072"/>
        </w:tabs>
        <w:ind w:right="419"/>
        <w:jc w:val="both"/>
        <w:rPr>
          <w:rFonts w:eastAsia="Cambria" w:cstheme="minorHAnsi"/>
          <w:b/>
          <w:bCs/>
          <w:u w:val="single"/>
          <w:lang w:val="fr-FR"/>
        </w:rPr>
      </w:pPr>
    </w:p>
    <w:p w14:paraId="5163F586" w14:textId="2A46A2D7" w:rsidR="00947F09" w:rsidRPr="0003495E" w:rsidRDefault="00947F09">
      <w:pPr>
        <w:rPr>
          <w:rFonts w:cstheme="minorHAnsi"/>
          <w:lang w:val="fr-FR"/>
        </w:rPr>
      </w:pPr>
    </w:p>
    <w:sectPr w:rsidR="00947F09" w:rsidRPr="0003495E" w:rsidSect="00443E94">
      <w:headerReference w:type="default" r:id="rId25"/>
      <w:footerReference w:type="default" r:id="rId26"/>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5B011" w14:textId="77777777" w:rsidR="00BE1E29" w:rsidRDefault="00BE1E29" w:rsidP="00947F09">
      <w:pPr>
        <w:spacing w:after="0" w:line="240" w:lineRule="auto"/>
      </w:pPr>
      <w:r>
        <w:separator/>
      </w:r>
    </w:p>
  </w:endnote>
  <w:endnote w:type="continuationSeparator" w:id="0">
    <w:p w14:paraId="11C683D3" w14:textId="77777777" w:rsidR="00BE1E29" w:rsidRDefault="00BE1E29" w:rsidP="0094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9050645"/>
      <w:docPartObj>
        <w:docPartGallery w:val="Page Numbers (Bottom of Page)"/>
        <w:docPartUnique/>
      </w:docPartObj>
    </w:sdtPr>
    <w:sdtEndPr/>
    <w:sdtContent>
      <w:p w14:paraId="68CC5963" w14:textId="77777777" w:rsidR="00310FC9" w:rsidRDefault="0050315F">
        <w:pPr>
          <w:pStyle w:val="Pieddepage"/>
          <w:jc w:val="center"/>
        </w:pPr>
        <w:r>
          <w:fldChar w:fldCharType="begin"/>
        </w:r>
        <w:r>
          <w:instrText>PAGE   \* MERGEFORMAT</w:instrText>
        </w:r>
        <w:r>
          <w:fldChar w:fldCharType="separate"/>
        </w:r>
        <w:r>
          <w:rPr>
            <w:lang w:val="fr-FR"/>
          </w:rPr>
          <w:t>2</w:t>
        </w:r>
        <w:r>
          <w:fldChar w:fldCharType="end"/>
        </w:r>
      </w:p>
    </w:sdtContent>
  </w:sdt>
  <w:p w14:paraId="028E27B9" w14:textId="77777777" w:rsidR="00310FC9" w:rsidRDefault="00BE1E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ED7D5" w14:textId="77777777" w:rsidR="00BE1E29" w:rsidRDefault="00BE1E29" w:rsidP="00947F09">
      <w:pPr>
        <w:spacing w:after="0" w:line="240" w:lineRule="auto"/>
      </w:pPr>
      <w:r>
        <w:separator/>
      </w:r>
    </w:p>
  </w:footnote>
  <w:footnote w:type="continuationSeparator" w:id="0">
    <w:p w14:paraId="3AFD1CAF" w14:textId="77777777" w:rsidR="00BE1E29" w:rsidRDefault="00BE1E29" w:rsidP="00947F09">
      <w:pPr>
        <w:spacing w:after="0" w:line="240" w:lineRule="auto"/>
      </w:pPr>
      <w:r>
        <w:continuationSeparator/>
      </w:r>
    </w:p>
  </w:footnote>
  <w:footnote w:id="1">
    <w:p w14:paraId="16058726" w14:textId="77777777" w:rsidR="006702B7" w:rsidRPr="00D470AE" w:rsidRDefault="006702B7" w:rsidP="006702B7">
      <w:pPr>
        <w:pStyle w:val="Notedebasdepage"/>
        <w:rPr>
          <w:rFonts w:ascii="Calibri" w:hAnsi="Calibri" w:cs="Calibri"/>
        </w:rPr>
      </w:pPr>
      <w:r w:rsidRPr="00D470AE">
        <w:rPr>
          <w:rStyle w:val="Appelnotedebasdep"/>
          <w:rFonts w:ascii="Calibri" w:hAnsi="Calibri" w:cs="Calibri"/>
        </w:rPr>
        <w:footnoteRef/>
      </w:r>
      <w:r w:rsidRPr="00D470AE">
        <w:rPr>
          <w:rFonts w:ascii="Calibri" w:hAnsi="Calibri" w:cs="Calibri"/>
        </w:rPr>
        <w:t xml:space="preserve"> </w:t>
      </w:r>
      <w:hyperlink r:id="rId1" w:history="1">
        <w:r w:rsidRPr="0066245E">
          <w:rPr>
            <w:rStyle w:val="Lienhypertexte"/>
            <w:rFonts w:ascii="Calibri" w:hAnsi="Calibri" w:cs="Calibri"/>
          </w:rPr>
          <w:t>https://www.undp.org/drei</w:t>
        </w:r>
      </w:hyperlink>
      <w:r>
        <w:rPr>
          <w:rFonts w:ascii="Calibri" w:hAnsi="Calibri" w:cs="Calibri"/>
        </w:rPr>
        <w:t xml:space="preserve"> </w:t>
      </w:r>
    </w:p>
  </w:footnote>
  <w:footnote w:id="2">
    <w:p w14:paraId="32A115C1" w14:textId="77777777" w:rsidR="00947F09" w:rsidRPr="00165219" w:rsidRDefault="00947F09" w:rsidP="00947F09">
      <w:pPr>
        <w:pStyle w:val="Notedebasdepage"/>
        <w:rPr>
          <w:rFonts w:ascii="Garamond" w:hAnsi="Garamond"/>
          <w:sz w:val="18"/>
          <w:szCs w:val="18"/>
        </w:rPr>
      </w:pPr>
      <w:r w:rsidRPr="00F17AE8">
        <w:rPr>
          <w:rStyle w:val="Appelnotedebasdep"/>
          <w:sz w:val="18"/>
          <w:szCs w:val="18"/>
          <w:lang w:val="fr"/>
        </w:rPr>
        <w:footnoteRef/>
      </w:r>
      <w:r w:rsidRPr="00165219">
        <w:rPr>
          <w:sz w:val="18"/>
          <w:szCs w:val="18"/>
        </w:rPr>
        <w:t xml:space="preserve"> </w:t>
      </w:r>
      <w:hyperlink r:id="rId2" w:history="1">
        <w:r w:rsidRPr="00165219">
          <w:rPr>
            <w:rStyle w:val="Lienhypertexte"/>
            <w:sz w:val="18"/>
            <w:szCs w:val="18"/>
          </w:rPr>
          <w:t>https://intranet.undp.org/unit/bom/pso/Support%20documents%20on%20IC%20Guidelines/Template%20for%20Confirmation%20of%20Interest%20and%20Submission%20of%20Financial%20Proposal.docx</w:t>
        </w:r>
      </w:hyperlink>
      <w:r w:rsidRPr="00165219">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6E4EE" w14:textId="408F119D" w:rsidR="00665BD3" w:rsidRDefault="00665BD3" w:rsidP="00665BD3">
    <w:pPr>
      <w:pStyle w:val="En-tte"/>
      <w:tabs>
        <w:tab w:val="left" w:pos="2070"/>
        <w:tab w:val="right" w:pos="9360"/>
      </w:tabs>
    </w:pPr>
    <w:r w:rsidRPr="00665BD3">
      <w:rPr>
        <w:rFonts w:ascii="Times New Roman" w:eastAsia="Calibri" w:hAnsi="Times New Roman" w:cs="Times New Roman"/>
        <w:b/>
        <w:noProof/>
        <w:color w:val="000000"/>
        <w:sz w:val="24"/>
        <w:szCs w:val="24"/>
        <w:lang w:val="fr-FR"/>
      </w:rPr>
      <w:drawing>
        <wp:anchor distT="0" distB="0" distL="114300" distR="114300" simplePos="0" relativeHeight="251659264" behindDoc="0" locked="0" layoutInCell="1" allowOverlap="1" wp14:anchorId="11218790" wp14:editId="6224FB37">
          <wp:simplePos x="0" y="0"/>
          <wp:positionH relativeFrom="margin">
            <wp:align>right</wp:align>
          </wp:positionH>
          <wp:positionV relativeFrom="paragraph">
            <wp:posOffset>-116840</wp:posOffset>
          </wp:positionV>
          <wp:extent cx="368490" cy="736979"/>
          <wp:effectExtent l="0" t="0" r="0" b="6350"/>
          <wp:wrapNone/>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8490" cy="73697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ab/>
    </w:r>
  </w:p>
  <w:p w14:paraId="4F7AEA00" w14:textId="77777777" w:rsidR="00665BD3" w:rsidRDefault="00665BD3" w:rsidP="00665BD3">
    <w:pPr>
      <w:pStyle w:val="En-tte"/>
      <w:tabs>
        <w:tab w:val="left" w:pos="2070"/>
        <w:tab w:val="right" w:pos="9360"/>
      </w:tabs>
    </w:pPr>
  </w:p>
  <w:p w14:paraId="159BFE66" w14:textId="008C2D7E" w:rsidR="00665BD3" w:rsidRDefault="00665BD3" w:rsidP="00665BD3">
    <w:pPr>
      <w:pStyle w:val="En-tte"/>
      <w:tabs>
        <w:tab w:val="left" w:pos="2070"/>
        <w:tab w:val="right" w:pos="9360"/>
      </w:tabs>
    </w:pPr>
  </w:p>
  <w:p w14:paraId="3FE5C8F1" w14:textId="2E34F45B" w:rsidR="00665BD3" w:rsidRDefault="00665BD3" w:rsidP="00665BD3">
    <w:pPr>
      <w:pStyle w:val="En-tte"/>
      <w:tabs>
        <w:tab w:val="left" w:pos="2070"/>
        <w:tab w:val="right" w:pos="9360"/>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75B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F05200"/>
    <w:multiLevelType w:val="hybridMultilevel"/>
    <w:tmpl w:val="A5DC84B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34113F"/>
    <w:multiLevelType w:val="hybridMultilevel"/>
    <w:tmpl w:val="A1AE0E54"/>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9995201"/>
    <w:multiLevelType w:val="hybridMultilevel"/>
    <w:tmpl w:val="6BB469C2"/>
    <w:lvl w:ilvl="0" w:tplc="2000000D">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0A11697B"/>
    <w:multiLevelType w:val="hybridMultilevel"/>
    <w:tmpl w:val="CB8EA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B62BF"/>
    <w:multiLevelType w:val="hybridMultilevel"/>
    <w:tmpl w:val="0FFA5BDA"/>
    <w:lvl w:ilvl="0" w:tplc="2A8CAF42">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26E3275"/>
    <w:multiLevelType w:val="hybridMultilevel"/>
    <w:tmpl w:val="11D2FE4E"/>
    <w:lvl w:ilvl="0" w:tplc="040C000D">
      <w:start w:val="1"/>
      <w:numFmt w:val="bullet"/>
      <w:lvlText w:val=""/>
      <w:lvlJc w:val="left"/>
      <w:pPr>
        <w:ind w:left="426" w:hanging="360"/>
      </w:pPr>
      <w:rPr>
        <w:rFonts w:ascii="Wingdings" w:hAnsi="Wingdings" w:hint="default"/>
      </w:rPr>
    </w:lvl>
    <w:lvl w:ilvl="1" w:tplc="ABD8EE8A">
      <w:numFmt w:val="bullet"/>
      <w:lvlText w:val="•"/>
      <w:lvlJc w:val="left"/>
      <w:pPr>
        <w:ind w:left="1146" w:hanging="360"/>
      </w:pPr>
      <w:rPr>
        <w:rFonts w:ascii="Times New Roman" w:eastAsia="Times New Roman" w:hAnsi="Times New Roman" w:cs="Times New Roman"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7" w15:restartNumberingAfterBreak="0">
    <w:nsid w:val="132223A2"/>
    <w:multiLevelType w:val="hybridMultilevel"/>
    <w:tmpl w:val="94B6A854"/>
    <w:lvl w:ilvl="0" w:tplc="3522BA66">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4967FAB"/>
    <w:multiLevelType w:val="hybridMultilevel"/>
    <w:tmpl w:val="5546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7821E4"/>
    <w:multiLevelType w:val="hybridMultilevel"/>
    <w:tmpl w:val="A4A284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A01D3F"/>
    <w:multiLevelType w:val="hybridMultilevel"/>
    <w:tmpl w:val="F9B8C06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8192998"/>
    <w:multiLevelType w:val="hybridMultilevel"/>
    <w:tmpl w:val="F236C13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9004454"/>
    <w:multiLevelType w:val="hybridMultilevel"/>
    <w:tmpl w:val="52DC3F88"/>
    <w:lvl w:ilvl="0" w:tplc="D83C0BA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D3B1659"/>
    <w:multiLevelType w:val="hybridMultilevel"/>
    <w:tmpl w:val="EEA2630A"/>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0B21385"/>
    <w:multiLevelType w:val="hybridMultilevel"/>
    <w:tmpl w:val="2F72B72C"/>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3105466"/>
    <w:multiLevelType w:val="hybridMultilevel"/>
    <w:tmpl w:val="56D6A5BA"/>
    <w:lvl w:ilvl="0" w:tplc="08090001">
      <w:start w:val="1"/>
      <w:numFmt w:val="bullet"/>
      <w:lvlText w:val=""/>
      <w:lvlJc w:val="left"/>
      <w:pPr>
        <w:ind w:left="720" w:hanging="360"/>
      </w:pPr>
      <w:rPr>
        <w:rFonts w:ascii="Symbol" w:hAnsi="Symbol" w:hint="default"/>
      </w:rPr>
    </w:lvl>
    <w:lvl w:ilvl="1" w:tplc="67348B04">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FD7F98"/>
    <w:multiLevelType w:val="hybridMultilevel"/>
    <w:tmpl w:val="19344360"/>
    <w:lvl w:ilvl="0" w:tplc="08090001">
      <w:numFmt w:val="decimal"/>
      <w:lvlText w:val=""/>
      <w:lvlJc w:val="left"/>
      <w:pPr>
        <w:ind w:left="1440" w:hanging="360"/>
      </w:pPr>
      <w:rPr>
        <w:rFonts w:ascii="Symbol" w:hAnsi="Symbol" w:hint="default"/>
      </w:r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2000000F">
      <w:start w:val="1"/>
      <w:numFmt w:val="decimal"/>
      <w:lvlText w:val="%4."/>
      <w:lvlJc w:val="left"/>
      <w:pPr>
        <w:ind w:left="3620" w:hanging="360"/>
      </w:pPr>
      <w:rPr>
        <w:b/>
      </w:r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17" w15:restartNumberingAfterBreak="0">
    <w:nsid w:val="2B494DF5"/>
    <w:multiLevelType w:val="hybridMultilevel"/>
    <w:tmpl w:val="E82A3EB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41846ED"/>
    <w:multiLevelType w:val="hybridMultilevel"/>
    <w:tmpl w:val="45426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C65CB0"/>
    <w:multiLevelType w:val="hybridMultilevel"/>
    <w:tmpl w:val="137CC60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6D71A8D"/>
    <w:multiLevelType w:val="hybridMultilevel"/>
    <w:tmpl w:val="80A25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3A5997"/>
    <w:multiLevelType w:val="hybridMultilevel"/>
    <w:tmpl w:val="F2BEEB5E"/>
    <w:lvl w:ilvl="0" w:tplc="2000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A6E3D25"/>
    <w:multiLevelType w:val="hybridMultilevel"/>
    <w:tmpl w:val="4616438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D24411D"/>
    <w:multiLevelType w:val="hybridMultilevel"/>
    <w:tmpl w:val="4BB6F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E3061B"/>
    <w:multiLevelType w:val="hybridMultilevel"/>
    <w:tmpl w:val="AEA0B472"/>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22675FC"/>
    <w:multiLevelType w:val="hybridMultilevel"/>
    <w:tmpl w:val="41386D5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3A006E5"/>
    <w:multiLevelType w:val="hybridMultilevel"/>
    <w:tmpl w:val="64185B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027AE8"/>
    <w:multiLevelType w:val="hybridMultilevel"/>
    <w:tmpl w:val="E354A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4D735B"/>
    <w:multiLevelType w:val="hybridMultilevel"/>
    <w:tmpl w:val="994213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50DC5931"/>
    <w:multiLevelType w:val="hybridMultilevel"/>
    <w:tmpl w:val="F0188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4E040E"/>
    <w:multiLevelType w:val="hybridMultilevel"/>
    <w:tmpl w:val="68D4FD84"/>
    <w:lvl w:ilvl="0" w:tplc="040C000D">
      <w:start w:val="1"/>
      <w:numFmt w:val="bullet"/>
      <w:lvlText w:val=""/>
      <w:lvlJc w:val="left"/>
      <w:pPr>
        <w:ind w:left="1637" w:hanging="360"/>
      </w:pPr>
      <w:rPr>
        <w:rFonts w:ascii="Wingdings" w:hAnsi="Wingdings" w:hint="default"/>
      </w:rPr>
    </w:lvl>
    <w:lvl w:ilvl="1" w:tplc="ABD8EE8A">
      <w:numFmt w:val="bullet"/>
      <w:lvlText w:val="•"/>
      <w:lvlJc w:val="left"/>
      <w:pPr>
        <w:ind w:left="2357" w:hanging="360"/>
      </w:pPr>
      <w:rPr>
        <w:rFonts w:ascii="Times New Roman" w:eastAsia="Times New Roman" w:hAnsi="Times New Roman" w:cs="Times New Roman"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31" w15:restartNumberingAfterBreak="0">
    <w:nsid w:val="57AF12D5"/>
    <w:multiLevelType w:val="hybridMultilevel"/>
    <w:tmpl w:val="99E694E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B0D46D1"/>
    <w:multiLevelType w:val="hybridMultilevel"/>
    <w:tmpl w:val="24EE4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F2D1F2C"/>
    <w:multiLevelType w:val="hybridMultilevel"/>
    <w:tmpl w:val="32B84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8B600D"/>
    <w:multiLevelType w:val="hybridMultilevel"/>
    <w:tmpl w:val="12C6B1C0"/>
    <w:lvl w:ilvl="0" w:tplc="685636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A4A4DFD"/>
    <w:multiLevelType w:val="hybridMultilevel"/>
    <w:tmpl w:val="73FAB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D75D32"/>
    <w:multiLevelType w:val="hybridMultilevel"/>
    <w:tmpl w:val="A3546E38"/>
    <w:lvl w:ilvl="0" w:tplc="B8042032">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E143DF"/>
    <w:multiLevelType w:val="multilevel"/>
    <w:tmpl w:val="089A7BB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22"/>
  </w:num>
  <w:num w:numId="4">
    <w:abstractNumId w:val="37"/>
  </w:num>
  <w:num w:numId="5">
    <w:abstractNumId w:val="21"/>
  </w:num>
  <w:num w:numId="6">
    <w:abstractNumId w:val="25"/>
  </w:num>
  <w:num w:numId="7">
    <w:abstractNumId w:val="9"/>
  </w:num>
  <w:num w:numId="8">
    <w:abstractNumId w:val="28"/>
  </w:num>
  <w:num w:numId="9">
    <w:abstractNumId w:val="13"/>
  </w:num>
  <w:num w:numId="10">
    <w:abstractNumId w:val="30"/>
  </w:num>
  <w:num w:numId="11">
    <w:abstractNumId w:val="6"/>
  </w:num>
  <w:num w:numId="12">
    <w:abstractNumId w:val="14"/>
  </w:num>
  <w:num w:numId="13">
    <w:abstractNumId w:val="16"/>
  </w:num>
  <w:num w:numId="14">
    <w:abstractNumId w:val="7"/>
  </w:num>
  <w:num w:numId="15">
    <w:abstractNumId w:val="36"/>
  </w:num>
  <w:num w:numId="16">
    <w:abstractNumId w:val="17"/>
  </w:num>
  <w:num w:numId="17">
    <w:abstractNumId w:val="1"/>
  </w:num>
  <w:num w:numId="18">
    <w:abstractNumId w:val="32"/>
  </w:num>
  <w:num w:numId="19">
    <w:abstractNumId w:val="3"/>
  </w:num>
  <w:num w:numId="20">
    <w:abstractNumId w:val="2"/>
  </w:num>
  <w:num w:numId="21">
    <w:abstractNumId w:val="24"/>
  </w:num>
  <w:num w:numId="22">
    <w:abstractNumId w:val="10"/>
  </w:num>
  <w:num w:numId="23">
    <w:abstractNumId w:val="31"/>
  </w:num>
  <w:num w:numId="24">
    <w:abstractNumId w:val="19"/>
  </w:num>
  <w:num w:numId="25">
    <w:abstractNumId w:val="11"/>
  </w:num>
  <w:num w:numId="26">
    <w:abstractNumId w:val="0"/>
  </w:num>
  <w:num w:numId="27">
    <w:abstractNumId w:val="4"/>
  </w:num>
  <w:num w:numId="28">
    <w:abstractNumId w:val="29"/>
  </w:num>
  <w:num w:numId="29">
    <w:abstractNumId w:val="8"/>
  </w:num>
  <w:num w:numId="30">
    <w:abstractNumId w:val="15"/>
  </w:num>
  <w:num w:numId="31">
    <w:abstractNumId w:val="23"/>
  </w:num>
  <w:num w:numId="32">
    <w:abstractNumId w:val="27"/>
  </w:num>
  <w:num w:numId="33">
    <w:abstractNumId w:val="35"/>
  </w:num>
  <w:num w:numId="34">
    <w:abstractNumId w:val="12"/>
  </w:num>
  <w:num w:numId="35">
    <w:abstractNumId w:val="18"/>
  </w:num>
  <w:num w:numId="36">
    <w:abstractNumId w:val="33"/>
  </w:num>
  <w:num w:numId="37">
    <w:abstractNumId w:val="26"/>
  </w:num>
  <w:num w:numId="38">
    <w:abstractNumId w:val="20"/>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F09"/>
    <w:rsid w:val="0003495E"/>
    <w:rsid w:val="00052BB5"/>
    <w:rsid w:val="00084B5F"/>
    <w:rsid w:val="000B6ABD"/>
    <w:rsid w:val="000C402E"/>
    <w:rsid w:val="000E77F4"/>
    <w:rsid w:val="0010612F"/>
    <w:rsid w:val="0012520B"/>
    <w:rsid w:val="00134733"/>
    <w:rsid w:val="00146A87"/>
    <w:rsid w:val="00150A7A"/>
    <w:rsid w:val="001528C9"/>
    <w:rsid w:val="001635CD"/>
    <w:rsid w:val="00165219"/>
    <w:rsid w:val="00166CF6"/>
    <w:rsid w:val="00187D85"/>
    <w:rsid w:val="00191C4F"/>
    <w:rsid w:val="001B12A7"/>
    <w:rsid w:val="001F60CD"/>
    <w:rsid w:val="002041D8"/>
    <w:rsid w:val="002504BE"/>
    <w:rsid w:val="00265D54"/>
    <w:rsid w:val="0027718B"/>
    <w:rsid w:val="00280C1A"/>
    <w:rsid w:val="00284799"/>
    <w:rsid w:val="00290939"/>
    <w:rsid w:val="002B0F51"/>
    <w:rsid w:val="002F1BE7"/>
    <w:rsid w:val="00310B54"/>
    <w:rsid w:val="00315D4B"/>
    <w:rsid w:val="0031624A"/>
    <w:rsid w:val="00317C30"/>
    <w:rsid w:val="00371AF8"/>
    <w:rsid w:val="003B1790"/>
    <w:rsid w:val="003B3A62"/>
    <w:rsid w:val="0044792A"/>
    <w:rsid w:val="00454253"/>
    <w:rsid w:val="0048272A"/>
    <w:rsid w:val="004D739E"/>
    <w:rsid w:val="004E2C5C"/>
    <w:rsid w:val="004F2FEE"/>
    <w:rsid w:val="004F58B9"/>
    <w:rsid w:val="004F7835"/>
    <w:rsid w:val="00500FC4"/>
    <w:rsid w:val="0050315F"/>
    <w:rsid w:val="00510A31"/>
    <w:rsid w:val="00511FF0"/>
    <w:rsid w:val="00531D09"/>
    <w:rsid w:val="005628A1"/>
    <w:rsid w:val="00573628"/>
    <w:rsid w:val="005744B8"/>
    <w:rsid w:val="00582675"/>
    <w:rsid w:val="005E7A43"/>
    <w:rsid w:val="00631343"/>
    <w:rsid w:val="006453CB"/>
    <w:rsid w:val="00652D3B"/>
    <w:rsid w:val="00657677"/>
    <w:rsid w:val="00665BD3"/>
    <w:rsid w:val="006702B7"/>
    <w:rsid w:val="00670704"/>
    <w:rsid w:val="0067567C"/>
    <w:rsid w:val="00675B34"/>
    <w:rsid w:val="006964F9"/>
    <w:rsid w:val="006A14B3"/>
    <w:rsid w:val="006A7FC2"/>
    <w:rsid w:val="006B41E5"/>
    <w:rsid w:val="006D4D98"/>
    <w:rsid w:val="006F1407"/>
    <w:rsid w:val="006F5C83"/>
    <w:rsid w:val="006F73D2"/>
    <w:rsid w:val="0071797A"/>
    <w:rsid w:val="00737B60"/>
    <w:rsid w:val="007454E0"/>
    <w:rsid w:val="007612C1"/>
    <w:rsid w:val="00763DD7"/>
    <w:rsid w:val="007C7CBF"/>
    <w:rsid w:val="007F0919"/>
    <w:rsid w:val="007F1E84"/>
    <w:rsid w:val="008072DB"/>
    <w:rsid w:val="00820256"/>
    <w:rsid w:val="0087128F"/>
    <w:rsid w:val="00891AEB"/>
    <w:rsid w:val="00897B7C"/>
    <w:rsid w:val="008A62BE"/>
    <w:rsid w:val="008B34B3"/>
    <w:rsid w:val="008B3B00"/>
    <w:rsid w:val="008D46FB"/>
    <w:rsid w:val="00904D63"/>
    <w:rsid w:val="00907C4B"/>
    <w:rsid w:val="00947F09"/>
    <w:rsid w:val="00991E1B"/>
    <w:rsid w:val="009A2001"/>
    <w:rsid w:val="009A2779"/>
    <w:rsid w:val="009F6264"/>
    <w:rsid w:val="00A14810"/>
    <w:rsid w:val="00A1783C"/>
    <w:rsid w:val="00A2418C"/>
    <w:rsid w:val="00A33E5A"/>
    <w:rsid w:val="00A364D4"/>
    <w:rsid w:val="00A47DC5"/>
    <w:rsid w:val="00A513F7"/>
    <w:rsid w:val="00A601A3"/>
    <w:rsid w:val="00A67019"/>
    <w:rsid w:val="00A723F2"/>
    <w:rsid w:val="00A8012F"/>
    <w:rsid w:val="00AA6CB3"/>
    <w:rsid w:val="00AD6CB6"/>
    <w:rsid w:val="00B363F3"/>
    <w:rsid w:val="00B37995"/>
    <w:rsid w:val="00B47555"/>
    <w:rsid w:val="00B475BE"/>
    <w:rsid w:val="00B57572"/>
    <w:rsid w:val="00B97A38"/>
    <w:rsid w:val="00BC714E"/>
    <w:rsid w:val="00BE1E29"/>
    <w:rsid w:val="00BE5D3E"/>
    <w:rsid w:val="00BE73C8"/>
    <w:rsid w:val="00C23FA9"/>
    <w:rsid w:val="00C31106"/>
    <w:rsid w:val="00C84E2D"/>
    <w:rsid w:val="00CA12EB"/>
    <w:rsid w:val="00CC6EB9"/>
    <w:rsid w:val="00CC7180"/>
    <w:rsid w:val="00CD211E"/>
    <w:rsid w:val="00D0601E"/>
    <w:rsid w:val="00D112C6"/>
    <w:rsid w:val="00D441D8"/>
    <w:rsid w:val="00D44CB3"/>
    <w:rsid w:val="00D60EBD"/>
    <w:rsid w:val="00DA2EE4"/>
    <w:rsid w:val="00DE16B9"/>
    <w:rsid w:val="00DF58DC"/>
    <w:rsid w:val="00DF694A"/>
    <w:rsid w:val="00DF709F"/>
    <w:rsid w:val="00E540EB"/>
    <w:rsid w:val="00E625F9"/>
    <w:rsid w:val="00E66B54"/>
    <w:rsid w:val="00E93C4C"/>
    <w:rsid w:val="00E9714F"/>
    <w:rsid w:val="00EB5FB4"/>
    <w:rsid w:val="00EB6887"/>
    <w:rsid w:val="00ED3C3C"/>
    <w:rsid w:val="00EE00EB"/>
    <w:rsid w:val="00EE5F6C"/>
    <w:rsid w:val="00EF55EA"/>
    <w:rsid w:val="00F0266C"/>
    <w:rsid w:val="00F358A4"/>
    <w:rsid w:val="00F429A4"/>
    <w:rsid w:val="00F93AF0"/>
    <w:rsid w:val="00FA6062"/>
    <w:rsid w:val="00FB3F16"/>
    <w:rsid w:val="00FC3647"/>
    <w:rsid w:val="00FC7AF7"/>
    <w:rsid w:val="00FD4AE4"/>
    <w:rsid w:val="00FE7AC3"/>
  </w:rsids>
  <m:mathPr>
    <m:mathFont m:val="Cambria Math"/>
    <m:brkBin m:val="before"/>
    <m:brkBinSub m:val="--"/>
    <m:smallFrac m:val="0"/>
    <m:dispDef/>
    <m:lMargin m:val="0"/>
    <m:rMargin m:val="0"/>
    <m:defJc m:val="centerGroup"/>
    <m:wrapIndent m:val="1440"/>
    <m:intLim m:val="subSup"/>
    <m:naryLim m:val="undOvr"/>
  </m:mathPr>
  <w:themeFontLang w:val="fr-T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21390"/>
  <w15:chartTrackingRefBased/>
  <w15:docId w15:val="{7D72AFCC-DBD6-42A7-9FD9-7F79DBA1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T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F09"/>
    <w:pPr>
      <w:spacing w:after="200" w:line="276" w:lineRule="auto"/>
    </w:pPr>
    <w:rPr>
      <w:lang w:val="en-US"/>
    </w:rPr>
  </w:style>
  <w:style w:type="paragraph" w:styleId="Titre2">
    <w:name w:val="heading 2"/>
    <w:basedOn w:val="Normal"/>
    <w:next w:val="Normal"/>
    <w:link w:val="Titre2Car"/>
    <w:uiPriority w:val="9"/>
    <w:semiHidden/>
    <w:unhideWhenUsed/>
    <w:qFormat/>
    <w:rsid w:val="00947F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aliases w:val="Bullet List Car,FooterText Car,List Paragraph1 Car,Colorful List Accent 1 Car,numbered Car,Paragraphe de liste1 Car,列出段落 Car,列出段落1 Car,Bulletr List Paragraph Car,List Paragraph2 Car,List Paragraph21 Car,Párrafo de lista1 Car"/>
    <w:basedOn w:val="Policepardfaut"/>
    <w:link w:val="Paragraphedeliste"/>
    <w:uiPriority w:val="34"/>
    <w:qFormat/>
    <w:locked/>
    <w:rsid w:val="00947F09"/>
  </w:style>
  <w:style w:type="paragraph" w:styleId="Paragraphedeliste">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ParagraphedelisteCar"/>
    <w:uiPriority w:val="34"/>
    <w:qFormat/>
    <w:rsid w:val="00947F09"/>
    <w:pPr>
      <w:ind w:left="720"/>
      <w:contextualSpacing/>
    </w:pPr>
  </w:style>
  <w:style w:type="character" w:customStyle="1" w:styleId="Titre2Car">
    <w:name w:val="Titre 2 Car"/>
    <w:basedOn w:val="Policepardfaut"/>
    <w:link w:val="Titre2"/>
    <w:uiPriority w:val="9"/>
    <w:semiHidden/>
    <w:rsid w:val="00947F09"/>
    <w:rPr>
      <w:rFonts w:asciiTheme="majorHAnsi" w:eastAsiaTheme="majorEastAsia" w:hAnsiTheme="majorHAnsi" w:cstheme="majorBidi"/>
      <w:color w:val="2F5496" w:themeColor="accent1" w:themeShade="BF"/>
      <w:sz w:val="26"/>
      <w:szCs w:val="26"/>
      <w:lang w:val="en-US"/>
    </w:rPr>
  </w:style>
  <w:style w:type="paragraph" w:styleId="Pieddepage">
    <w:name w:val="footer"/>
    <w:basedOn w:val="Normal"/>
    <w:link w:val="PieddepageCar"/>
    <w:uiPriority w:val="99"/>
    <w:unhideWhenUsed/>
    <w:rsid w:val="00947F0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47F09"/>
    <w:rPr>
      <w:lang w:val="en-US"/>
    </w:rPr>
  </w:style>
  <w:style w:type="character" w:styleId="Lienhypertexte">
    <w:name w:val="Hyperlink"/>
    <w:basedOn w:val="Policepardfaut"/>
    <w:uiPriority w:val="99"/>
    <w:unhideWhenUsed/>
    <w:rsid w:val="00947F09"/>
    <w:rPr>
      <w:color w:val="0563C1" w:themeColor="hyperlink"/>
      <w:u w:val="single"/>
    </w:rPr>
  </w:style>
  <w:style w:type="paragraph" w:styleId="Notedebasdepage">
    <w:name w:val="footnote text"/>
    <w:aliases w:val="Geneva 9,Font: Geneva 9,Boston 10,f,single space,Footnote,otnote Text,ft,Footnote Text Char Char Char,Footnote Text Char Char Char Char,Footnote Text Char Char,Footnote Text Char Char Char Char Char Char Char Char Char Char,FOOTNOTES"/>
    <w:basedOn w:val="Normal"/>
    <w:link w:val="NotedebasdepageCar"/>
    <w:uiPriority w:val="99"/>
    <w:unhideWhenUsed/>
    <w:rsid w:val="00947F09"/>
    <w:pPr>
      <w:spacing w:after="0" w:line="240" w:lineRule="auto"/>
    </w:pPr>
    <w:rPr>
      <w:sz w:val="20"/>
      <w:szCs w:val="20"/>
    </w:rPr>
  </w:style>
  <w:style w:type="character" w:customStyle="1" w:styleId="NotedebasdepageCar">
    <w:name w:val="Note de bas de page Car"/>
    <w:aliases w:val="Geneva 9 Car,Font: Geneva 9 Car,Boston 10 Car,f Car,single space Car,Footnote Car,otnote Text Car,ft Car,Footnote Text Char Char Char Car,Footnote Text Char Char Char Char Car,Footnote Text Char Char Car,FOOTNOTES Car"/>
    <w:basedOn w:val="Policepardfaut"/>
    <w:link w:val="Notedebasdepage"/>
    <w:uiPriority w:val="99"/>
    <w:rsid w:val="00947F09"/>
    <w:rPr>
      <w:sz w:val="20"/>
      <w:szCs w:val="20"/>
      <w:lang w:val="en-US"/>
    </w:rPr>
  </w:style>
  <w:style w:type="character" w:styleId="Appelnotedebasdep">
    <w:name w:val="footnote reference"/>
    <w:aliases w:val="16 Point,Superscript 6 Point,Superscript 6 Point + 11 pt,ftref,fr,Footnote Ref in FtNote,Style 24,o,SUPERS,Car Car Char Car Char Car Car Char Car Char Char,Error-Fußnotenzeichen5,Error-Fußnotenzeichen6,Ref,BVI fnr"/>
    <w:basedOn w:val="Policepardfaut"/>
    <w:link w:val="BVIfnrCarChar"/>
    <w:uiPriority w:val="99"/>
    <w:unhideWhenUsed/>
    <w:qFormat/>
    <w:rsid w:val="00947F09"/>
    <w:rPr>
      <w:vertAlign w:val="superscript"/>
    </w:rPr>
  </w:style>
  <w:style w:type="paragraph" w:styleId="Sansinterligne">
    <w:name w:val="No Spacing"/>
    <w:uiPriority w:val="1"/>
    <w:qFormat/>
    <w:rsid w:val="00947F09"/>
    <w:pPr>
      <w:spacing w:after="0" w:line="240" w:lineRule="auto"/>
    </w:pPr>
    <w:rPr>
      <w:lang w:val="en-US"/>
    </w:rPr>
  </w:style>
  <w:style w:type="paragraph" w:customStyle="1" w:styleId="BVIfnrCarChar">
    <w:name w:val="BVI fnr Car Char"/>
    <w:aliases w:val="BVI fnr Car Car Car Char,BVI fnr Car Car Char,BVI fnr Car Car Car Car Car Char,BVI fnr Car Car Car Car Char Car Car Char"/>
    <w:basedOn w:val="Normal"/>
    <w:link w:val="Appelnotedebasdep"/>
    <w:uiPriority w:val="99"/>
    <w:rsid w:val="00947F09"/>
    <w:pPr>
      <w:spacing w:after="160" w:line="240" w:lineRule="exact"/>
    </w:pPr>
    <w:rPr>
      <w:vertAlign w:val="superscript"/>
    </w:rPr>
  </w:style>
  <w:style w:type="character" w:customStyle="1" w:styleId="atendertext1">
    <w:name w:val="a_tender_text1"/>
    <w:rsid w:val="00947F09"/>
    <w:rPr>
      <w:rFonts w:ascii="Arial" w:hAnsi="Arial" w:cs="Arial" w:hint="default"/>
      <w:color w:val="000000"/>
      <w:sz w:val="20"/>
      <w:szCs w:val="20"/>
    </w:rPr>
  </w:style>
  <w:style w:type="character" w:styleId="Mentionnonrsolue">
    <w:name w:val="Unresolved Mention"/>
    <w:basedOn w:val="Policepardfaut"/>
    <w:uiPriority w:val="99"/>
    <w:semiHidden/>
    <w:unhideWhenUsed/>
    <w:rsid w:val="003B1790"/>
    <w:rPr>
      <w:color w:val="605E5C"/>
      <w:shd w:val="clear" w:color="auto" w:fill="E1DFDD"/>
    </w:rPr>
  </w:style>
  <w:style w:type="paragraph" w:styleId="En-tte">
    <w:name w:val="header"/>
    <w:basedOn w:val="Normal"/>
    <w:link w:val="En-tteCar"/>
    <w:uiPriority w:val="99"/>
    <w:unhideWhenUsed/>
    <w:rsid w:val="00665BD3"/>
    <w:pPr>
      <w:tabs>
        <w:tab w:val="center" w:pos="4536"/>
        <w:tab w:val="right" w:pos="9072"/>
      </w:tabs>
      <w:spacing w:after="0" w:line="240" w:lineRule="auto"/>
    </w:pPr>
  </w:style>
  <w:style w:type="character" w:customStyle="1" w:styleId="En-tteCar">
    <w:name w:val="En-tête Car"/>
    <w:basedOn w:val="Policepardfaut"/>
    <w:link w:val="En-tte"/>
    <w:uiPriority w:val="99"/>
    <w:rsid w:val="00665BD3"/>
    <w:rPr>
      <w:lang w:val="en-US"/>
    </w:rPr>
  </w:style>
  <w:style w:type="paragraph" w:styleId="NormalWeb">
    <w:name w:val="Normal (Web)"/>
    <w:basedOn w:val="Normal"/>
    <w:uiPriority w:val="99"/>
    <w:unhideWhenUsed/>
    <w:rsid w:val="004F2FE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Grilledutableau">
    <w:name w:val="Table Grid"/>
    <w:basedOn w:val="TableauNormal"/>
    <w:uiPriority w:val="39"/>
    <w:rsid w:val="0012520B"/>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265D54"/>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265D54"/>
    <w:rPr>
      <w:rFonts w:ascii="Times New Roman" w:eastAsia="Times New Roman" w:hAnsi="Times New Roman" w:cs="Times New Roman"/>
      <w:sz w:val="24"/>
      <w:szCs w:val="24"/>
      <w:lang w:val="fr-FR" w:eastAsia="rw-R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0977">
      <w:bodyDiv w:val="1"/>
      <w:marLeft w:val="0"/>
      <w:marRight w:val="0"/>
      <w:marTop w:val="0"/>
      <w:marBottom w:val="0"/>
      <w:divBdr>
        <w:top w:val="none" w:sz="0" w:space="0" w:color="auto"/>
        <w:left w:val="none" w:sz="0" w:space="0" w:color="auto"/>
        <w:bottom w:val="none" w:sz="0" w:space="0" w:color="auto"/>
        <w:right w:val="none" w:sz="0" w:space="0" w:color="auto"/>
      </w:divBdr>
    </w:div>
    <w:div w:id="120516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q.td@undp.org" TargetMode="External"/><Relationship Id="rId13" Type="http://schemas.openxmlformats.org/officeDocument/2006/relationships/image" Target="media/image1.emf"/><Relationship Id="rId18" Type="http://schemas.openxmlformats.org/officeDocument/2006/relationships/package" Target="embeddings/Microsoft_Word_Document2.docx"/><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5.emf"/><Relationship Id="rId7" Type="http://schemas.openxmlformats.org/officeDocument/2006/relationships/hyperlink" Target="mailto:procurement.td@undp.org" TargetMode="External"/><Relationship Id="rId12" Type="http://schemas.openxmlformats.org/officeDocument/2006/relationships/hyperlink" Target="http://www.cd.undp.org/hr/Conditions_G&#233;n&#233;rales_IC.pdf" TargetMode="External"/><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package" Target="embeddings/Microsoft_Word_Document1.docx"/><Relationship Id="rId20" Type="http://schemas.openxmlformats.org/officeDocument/2006/relationships/package" Target="embeddings/Microsoft_Word_Document3.docx"/><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24" Type="http://schemas.openxmlformats.org/officeDocument/2006/relationships/package" Target="embeddings/Microsoft_Word_Document4.docx"/><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glossaryDocument" Target="glossary/document.xml"/><Relationship Id="rId10" Type="http://schemas.openxmlformats.org/officeDocument/2006/relationships/hyperlink" Target="http://www.undp.org/content/dam/undp/library/corporate/Careers/P11_Personal_history_form.doc" TargetMode="External"/><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yperlink" Target="https://intranet.undp.org/unit/bom/pso/Support%20documents%20on%20IC%20Guidelines/Template%20for%20Confirmation%20of%20Interest%20and%20Submission%20of%20Financial%20Proposal.docx" TargetMode="External"/><Relationship Id="rId14" Type="http://schemas.openxmlformats.org/officeDocument/2006/relationships/package" Target="embeddings/Microsoft_Word_Document.docx"/><Relationship Id="rId22" Type="http://schemas.openxmlformats.org/officeDocument/2006/relationships/oleObject" Target="embeddings/Microsoft_Word_97_-_2003_Document.doc"/><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intranet.undp.org/unit/bom/pso/Support%20documents%20on%20IC%20Guidelines/Template%20for%20Confirmation%20of%20Interest%20and%20Submission%20of%20Financial%20Proposal.docx" TargetMode="External"/><Relationship Id="rId1" Type="http://schemas.openxmlformats.org/officeDocument/2006/relationships/hyperlink" Target="https://www.undp.org/dre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3739E9ED044160B6CC6B9DA2E37EEE"/>
        <w:category>
          <w:name w:val="Général"/>
          <w:gallery w:val="placeholder"/>
        </w:category>
        <w:types>
          <w:type w:val="bbPlcHdr"/>
        </w:types>
        <w:behaviors>
          <w:behavior w:val="content"/>
        </w:behaviors>
        <w:guid w:val="{BB0407AB-1697-409B-88EA-9D6DCB463B8B}"/>
      </w:docPartPr>
      <w:docPartBody>
        <w:p w:rsidR="0018038E" w:rsidRDefault="0031452D" w:rsidP="0031452D">
          <w:pPr>
            <w:pStyle w:val="FE3739E9ED044160B6CC6B9DA2E37EEE"/>
          </w:pPr>
          <w:r w:rsidRPr="009E1C14">
            <w:rPr>
              <w:rFonts w:ascii="Calibri" w:hAnsi="Calibri" w:cs="Calibri"/>
              <w:color w:val="000000" w:themeColor="text1"/>
              <w:u w:val="single"/>
            </w:rPr>
            <w:tab/>
          </w:r>
          <w:r w:rsidRPr="009E1C14">
            <w:rPr>
              <w:rFonts w:ascii="Calibri" w:hAnsi="Calibri" w:cs="Calibri"/>
              <w:color w:val="000000" w:themeColor="text1"/>
              <w:u w:val="single"/>
            </w:rPr>
            <w:tab/>
          </w:r>
          <w:r w:rsidRPr="009E1C14">
            <w:rPr>
              <w:rFonts w:ascii="Calibri" w:hAnsi="Calibri" w:cs="Calibri"/>
              <w:b/>
              <w:i/>
              <w:color w:val="000000" w:themeColor="text1"/>
              <w:u w:val="single"/>
            </w:rPr>
            <w:t>(briefly describe the nature of the services required)</w:t>
          </w:r>
          <w:r w:rsidRPr="009E1C14">
            <w:rPr>
              <w:rFonts w:ascii="Calibri" w:hAnsi="Calibri" w:cs="Calibri"/>
              <w:b/>
              <w:i/>
              <w:color w:val="000000" w:themeColor="text1"/>
              <w:u w:val="single"/>
            </w:rPr>
            <w:tab/>
          </w:r>
          <w:r w:rsidRPr="009E1C14">
            <w:rPr>
              <w:rFonts w:ascii="Calibri" w:hAnsi="Calibri" w:cs="Calibri"/>
              <w:b/>
              <w:i/>
              <w:color w:val="000000" w:themeColor="text1"/>
              <w:u w:val="single"/>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C3"/>
    <w:rsid w:val="00094298"/>
    <w:rsid w:val="0018038E"/>
    <w:rsid w:val="0031452D"/>
    <w:rsid w:val="00460458"/>
    <w:rsid w:val="006805AB"/>
    <w:rsid w:val="00720B64"/>
    <w:rsid w:val="007C26C3"/>
    <w:rsid w:val="00853A32"/>
    <w:rsid w:val="009F73B1"/>
    <w:rsid w:val="00BD7D6B"/>
    <w:rsid w:val="00BE479A"/>
    <w:rsid w:val="00C13047"/>
    <w:rsid w:val="00C74708"/>
    <w:rsid w:val="00CE49BE"/>
  </w:rsids>
  <m:mathPr>
    <m:mathFont m:val="Cambria Math"/>
    <m:brkBin m:val="before"/>
    <m:brkBinSub m:val="--"/>
    <m:smallFrac m:val="0"/>
    <m:dispDef/>
    <m:lMargin m:val="0"/>
    <m:rMargin m:val="0"/>
    <m:defJc m:val="centerGroup"/>
    <m:wrapIndent m:val="1440"/>
    <m:intLim m:val="subSup"/>
    <m:naryLim m:val="undOvr"/>
  </m:mathPr>
  <w:themeFontLang w:val="fr-T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TD" w:eastAsia="fr-T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E3739E9ED044160B6CC6B9DA2E37EEE">
    <w:name w:val="FE3739E9ED044160B6CC6B9DA2E37EEE"/>
    <w:rsid w:val="003145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11</Pages>
  <Words>3498</Words>
  <Characters>19943</Characters>
  <Application>Microsoft Office Word</Application>
  <DocSecurity>0</DocSecurity>
  <Lines>166</Lines>
  <Paragraphs>46</Paragraphs>
  <ScaleCrop>false</ScaleCrop>
  <Company/>
  <LinksUpToDate>false</LinksUpToDate>
  <CharactersWithSpaces>23395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Madjiadoum Kette</dc:creator>
  <cp:keywords/>
  <dc:description/>
  <cp:lastModifiedBy>Moussa Mollo Abdelkerim</cp:lastModifiedBy>
  <cp:revision>76</cp:revision>
  <dcterms:created xsi:type="dcterms:W3CDTF">2021-09-03T14:03:00Z</dcterms:created>
  <dcterms:modified xsi:type="dcterms:W3CDTF">2021-09-06T09:07:00Z</dcterms:modified>
</cp:coreProperties>
</file>