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2920E2CE"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w:t>
      </w:r>
      <w:r w:rsidR="00867583">
        <w:rPr>
          <w:b/>
        </w:rPr>
        <w:t>1</w:t>
      </w:r>
      <w:r w:rsidR="0032277B">
        <w:rPr>
          <w:b/>
        </w:rPr>
        <w:t>/1</w:t>
      </w:r>
      <w:r w:rsidR="00AB15AB">
        <w:rPr>
          <w:b/>
        </w:rPr>
        <w:t>3</w:t>
      </w:r>
      <w:r w:rsidR="006E7431">
        <w:rPr>
          <w:b/>
        </w:rPr>
        <w:t>82</w:t>
      </w:r>
      <w:r w:rsidR="004F365C">
        <w:rPr>
          <w:b/>
        </w:rPr>
        <w:t xml:space="preserve">   </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6DA9CBEE" w:rsidR="009E2B22" w:rsidRDefault="009E2B22" w:rsidP="009E2B22">
      <w:pPr>
        <w:tabs>
          <w:tab w:val="left" w:pos="1410"/>
        </w:tabs>
      </w:pPr>
      <w:r>
        <w:t xml:space="preserve">                                                                                                                                Fecha: </w:t>
      </w:r>
      <w:r w:rsidR="00F35850">
        <w:rPr>
          <w:color w:val="000000" w:themeColor="text1"/>
        </w:rPr>
        <w:t>1</w:t>
      </w:r>
      <w:r w:rsidR="006E7431">
        <w:rPr>
          <w:color w:val="000000" w:themeColor="text1"/>
        </w:rPr>
        <w:t>3</w:t>
      </w:r>
      <w:r w:rsidR="00E1556A" w:rsidRPr="00E576B5">
        <w:rPr>
          <w:color w:val="000000" w:themeColor="text1"/>
        </w:rPr>
        <w:t xml:space="preserve"> de </w:t>
      </w:r>
      <w:r w:rsidR="00D00A25">
        <w:rPr>
          <w:color w:val="000000" w:themeColor="text1"/>
        </w:rPr>
        <w:t>septiembre</w:t>
      </w:r>
      <w:r w:rsidR="00E1556A" w:rsidRPr="00E576B5">
        <w:rPr>
          <w:color w:val="000000" w:themeColor="text1"/>
        </w:rPr>
        <w:t xml:space="preserve"> de 20</w:t>
      </w:r>
      <w:r w:rsidR="00E7703C" w:rsidRPr="00E576B5">
        <w:rPr>
          <w:color w:val="000000" w:themeColor="text1"/>
        </w:rPr>
        <w:t>2</w:t>
      </w:r>
      <w:r w:rsidR="00867583">
        <w:rPr>
          <w:color w:val="000000" w:themeColor="text1"/>
        </w:rPr>
        <w:t>1</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4FE5B596" w14:textId="1009313D" w:rsidR="00CE20DD" w:rsidRPr="00D42AFA" w:rsidRDefault="005072C5" w:rsidP="0028504F">
      <w:pPr>
        <w:spacing w:after="0" w:line="240" w:lineRule="auto"/>
        <w:jc w:val="both"/>
        <w:rPr>
          <w:b/>
        </w:rPr>
      </w:pPr>
      <w:r w:rsidRPr="00D42AFA">
        <w:rPr>
          <w:b/>
        </w:rPr>
        <w:t>País: El Salvador</w:t>
      </w:r>
    </w:p>
    <w:p w14:paraId="4BB2A8C2" w14:textId="77777777" w:rsidR="005072C5" w:rsidRPr="00D42AFA" w:rsidRDefault="005072C5" w:rsidP="0028504F">
      <w:pPr>
        <w:spacing w:after="0" w:line="240" w:lineRule="auto"/>
        <w:jc w:val="both"/>
        <w:rPr>
          <w:bCs/>
        </w:rPr>
      </w:pPr>
    </w:p>
    <w:p w14:paraId="54F7861F" w14:textId="0B5131BB" w:rsidR="0028504F" w:rsidRDefault="0028504F" w:rsidP="0028504F">
      <w:pPr>
        <w:spacing w:after="0" w:line="240" w:lineRule="auto"/>
        <w:jc w:val="both"/>
        <w:rPr>
          <w:bCs/>
        </w:rPr>
      </w:pPr>
      <w:r w:rsidRPr="00D42AFA">
        <w:rPr>
          <w:b/>
        </w:rPr>
        <w:t>IC No.:</w:t>
      </w:r>
      <w:r w:rsidRPr="00D42AFA">
        <w:rPr>
          <w:b/>
        </w:rPr>
        <w:tab/>
      </w:r>
      <w:r w:rsidRPr="00D42AFA">
        <w:rPr>
          <w:bCs/>
        </w:rPr>
        <w:tab/>
        <w:t>1</w:t>
      </w:r>
      <w:r w:rsidR="00AB15AB">
        <w:rPr>
          <w:bCs/>
        </w:rPr>
        <w:t>3</w:t>
      </w:r>
      <w:r w:rsidR="006E7431">
        <w:rPr>
          <w:bCs/>
        </w:rPr>
        <w:t>82</w:t>
      </w:r>
      <w:r w:rsidR="00D42AFA" w:rsidRPr="00D42AFA">
        <w:rPr>
          <w:bCs/>
          <w:highlight w:val="yellow"/>
        </w:rPr>
        <w:t>(Favor indicar esta referencia al enviar su propuesta)</w:t>
      </w:r>
    </w:p>
    <w:p w14:paraId="7F872526" w14:textId="77777777" w:rsidR="000E04D5" w:rsidRPr="00D42AFA" w:rsidRDefault="000E04D5" w:rsidP="0028504F">
      <w:pPr>
        <w:spacing w:after="0" w:line="240" w:lineRule="auto"/>
        <w:jc w:val="both"/>
        <w:rPr>
          <w:bCs/>
        </w:rPr>
      </w:pPr>
    </w:p>
    <w:p w14:paraId="36E13CD6" w14:textId="1298A259" w:rsidR="0028504F" w:rsidRPr="0002427D" w:rsidRDefault="005072C5" w:rsidP="0028504F">
      <w:pPr>
        <w:jc w:val="both"/>
        <w:rPr>
          <w:rFonts w:cstheme="minorHAnsi"/>
          <w:b/>
        </w:rPr>
      </w:pPr>
      <w:r w:rsidRPr="00D42AFA">
        <w:rPr>
          <w:b/>
        </w:rPr>
        <w:t>Descripción de la consultoría</w:t>
      </w:r>
      <w:r w:rsidR="0028504F" w:rsidRPr="00D42AFA">
        <w:rPr>
          <w:b/>
        </w:rPr>
        <w:t>:</w:t>
      </w:r>
      <w:r w:rsidR="0028504F" w:rsidRPr="00D42AFA">
        <w:rPr>
          <w:bCs/>
        </w:rPr>
        <w:tab/>
      </w:r>
      <w:r w:rsidR="006E7431" w:rsidRPr="006E7431">
        <w:rPr>
          <w:bCs/>
        </w:rPr>
        <w:t>Estudio técnico sobre el cumplimiento de recomendaciones de organismos de derechos humanos sobre crímenes de odio en El Salvador</w:t>
      </w:r>
    </w:p>
    <w:p w14:paraId="1D4F402B" w14:textId="03F8721F" w:rsidR="0028504F" w:rsidRPr="0002427D" w:rsidRDefault="0002427D" w:rsidP="0002427D">
      <w:pPr>
        <w:jc w:val="both"/>
        <w:rPr>
          <w:rFonts w:cstheme="minorHAnsi"/>
          <w:szCs w:val="24"/>
        </w:rPr>
      </w:pPr>
      <w:r>
        <w:rPr>
          <w:sz w:val="24"/>
          <w:szCs w:val="24"/>
        </w:rPr>
        <w:t xml:space="preserve">AGENCIA: </w:t>
      </w:r>
      <w:r w:rsidRPr="003126E0">
        <w:rPr>
          <w:rFonts w:cstheme="minorHAnsi"/>
          <w:b/>
          <w:szCs w:val="24"/>
        </w:rPr>
        <w:t>Oficina del Alto Comisionado de las Naciones Unidas para los Derechos Humanos (OACNUDH)</w:t>
      </w:r>
    </w:p>
    <w:p w14:paraId="0BDC6048" w14:textId="77777777" w:rsidR="0002427D" w:rsidRPr="00EC5C54" w:rsidRDefault="0002427D" w:rsidP="0028504F">
      <w:pPr>
        <w:spacing w:after="0" w:line="240" w:lineRule="auto"/>
        <w:jc w:val="both"/>
        <w:rPr>
          <w:sz w:val="24"/>
          <w:szCs w:val="24"/>
        </w:rPr>
      </w:pPr>
    </w:p>
    <w:p w14:paraId="5B68ECE6" w14:textId="0BB3687F" w:rsidR="00EB3D4B" w:rsidRPr="0020179F" w:rsidRDefault="0065710B" w:rsidP="00A72207">
      <w:pPr>
        <w:tabs>
          <w:tab w:val="left" w:pos="1410"/>
        </w:tabs>
        <w:jc w:val="both"/>
        <w:rPr>
          <w:bCs/>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6E7431">
        <w:rPr>
          <w:rFonts w:ascii="Calibri" w:hAnsi="Calibri" w:cs="Calibri"/>
          <w:lang w:val="es-SV"/>
        </w:rPr>
        <w:t>9 semanas</w:t>
      </w:r>
      <w:r w:rsidR="00A72207" w:rsidRPr="0020179F">
        <w:rPr>
          <w:bCs/>
        </w:rPr>
        <w:t xml:space="preserve"> </w:t>
      </w:r>
      <w:r w:rsidR="00E7703C" w:rsidRPr="0020179F">
        <w:rPr>
          <w:bCs/>
        </w:rPr>
        <w:t xml:space="preserve">contados a partir de la </w:t>
      </w:r>
      <w:r w:rsidR="00EB3D4B" w:rsidRPr="0020179F">
        <w:rPr>
          <w:bCs/>
        </w:rPr>
        <w:t>orden de inicio.</w:t>
      </w:r>
    </w:p>
    <w:p w14:paraId="70DB5744" w14:textId="30FC8AB8" w:rsidR="00AE1287" w:rsidRPr="00932B88" w:rsidRDefault="00AE1287" w:rsidP="00634CA9">
      <w:pPr>
        <w:tabs>
          <w:tab w:val="left" w:pos="1410"/>
        </w:tabs>
        <w:jc w:val="both"/>
        <w:rPr>
          <w:b/>
          <w:sz w:val="24"/>
          <w:szCs w:val="24"/>
        </w:rPr>
      </w:pPr>
      <w:r w:rsidRPr="00932B88">
        <w:rPr>
          <w:b/>
          <w:sz w:val="24"/>
          <w:szCs w:val="24"/>
        </w:rPr>
        <w:t xml:space="preserve">La propuesta debe </w:t>
      </w:r>
      <w:r w:rsidR="00BD2A52">
        <w:rPr>
          <w:b/>
          <w:sz w:val="24"/>
          <w:szCs w:val="24"/>
        </w:rPr>
        <w:t>ENVIARSE</w:t>
      </w:r>
      <w:r w:rsidRPr="00932B88">
        <w:rPr>
          <w:b/>
          <w:sz w:val="24"/>
          <w:szCs w:val="24"/>
        </w:rPr>
        <w:t xml:space="preserve"> a más tardar </w:t>
      </w:r>
      <w:r w:rsidR="006E7431">
        <w:rPr>
          <w:b/>
          <w:sz w:val="24"/>
          <w:szCs w:val="24"/>
        </w:rPr>
        <w:t>27</w:t>
      </w:r>
      <w:r w:rsidRPr="00932B88">
        <w:rPr>
          <w:b/>
          <w:sz w:val="24"/>
          <w:szCs w:val="24"/>
        </w:rPr>
        <w:t xml:space="preserve"> de </w:t>
      </w:r>
      <w:r w:rsidR="00E778D3">
        <w:rPr>
          <w:b/>
          <w:sz w:val="24"/>
          <w:szCs w:val="24"/>
        </w:rPr>
        <w:t>septiembre</w:t>
      </w:r>
      <w:r w:rsidRPr="00932B88">
        <w:rPr>
          <w:b/>
          <w:sz w:val="24"/>
          <w:szCs w:val="24"/>
        </w:rPr>
        <w:t xml:space="preserve"> de 2021</w:t>
      </w:r>
      <w:r w:rsidR="00F4746B">
        <w:rPr>
          <w:b/>
          <w:sz w:val="24"/>
          <w:szCs w:val="24"/>
        </w:rPr>
        <w:t xml:space="preserve">, </w:t>
      </w:r>
      <w:r w:rsidR="00F4746B">
        <w:rPr>
          <w:bCs/>
          <w:sz w:val="24"/>
          <w:szCs w:val="24"/>
        </w:rPr>
        <w:t>a la si</w:t>
      </w:r>
      <w:r w:rsidR="00634CA9">
        <w:rPr>
          <w:bCs/>
          <w:sz w:val="24"/>
          <w:szCs w:val="24"/>
        </w:rPr>
        <w:t>guiente dirección de</w:t>
      </w:r>
      <w:r w:rsidR="00692C61">
        <w:t xml:space="preserve"> correo electrónico:</w:t>
      </w:r>
      <w:r w:rsidR="00692C61" w:rsidRPr="00AE10E7">
        <w:t xml:space="preserve"> </w:t>
      </w:r>
      <w:hyperlink r:id="rId14" w:history="1">
        <w:r w:rsidR="00692C61" w:rsidRPr="00874B22">
          <w:rPr>
            <w:rStyle w:val="Hipervnculo"/>
            <w:rFonts w:ascii="Segoe UI" w:hAnsi="Segoe UI"/>
            <w:snapToGrid w:val="0"/>
            <w:sz w:val="19"/>
            <w:lang w:val="es-SV"/>
          </w:rPr>
          <w:t>adquisiciones.sv@undp.org</w:t>
        </w:r>
      </w:hyperlink>
    </w:p>
    <w:p w14:paraId="579E9B7E" w14:textId="77777777" w:rsidR="00AE1287" w:rsidRPr="00AE10E7" w:rsidRDefault="00AE1287" w:rsidP="0028504F">
      <w:pPr>
        <w:spacing w:after="0" w:line="240" w:lineRule="auto"/>
        <w:jc w:val="both"/>
        <w:rPr>
          <w:bCs/>
        </w:rPr>
      </w:pPr>
    </w:p>
    <w:p w14:paraId="037D3A7C" w14:textId="67E8BE04" w:rsidR="007039BC" w:rsidRDefault="0065710B" w:rsidP="007039BC">
      <w:pPr>
        <w:tabs>
          <w:tab w:val="left" w:pos="1410"/>
        </w:tabs>
        <w:jc w:val="both"/>
      </w:pPr>
      <w:r>
        <w:t xml:space="preserve">Las </w:t>
      </w:r>
      <w:r w:rsidRPr="00A72207">
        <w:rPr>
          <w:b/>
          <w:bCs/>
          <w:u w:val="single"/>
        </w:rPr>
        <w:t>solicitudes de aclaración</w:t>
      </w:r>
      <w:r>
        <w:t xml:space="preserve"> deben enviarse por correo electrónico</w:t>
      </w:r>
      <w:r w:rsidR="00AE10E7">
        <w:t>:</w:t>
      </w:r>
      <w:r w:rsidR="00AE10E7" w:rsidRPr="00AE10E7">
        <w:t xml:space="preserve"> </w:t>
      </w:r>
      <w:hyperlink r:id="rId15" w:history="1">
        <w:r w:rsidR="00AE10E7" w:rsidRPr="00874B22">
          <w:rPr>
            <w:rStyle w:val="Hipervnculo"/>
            <w:rFonts w:ascii="Segoe UI" w:hAnsi="Segoe UI"/>
            <w:snapToGrid w:val="0"/>
            <w:sz w:val="19"/>
            <w:lang w:val="es-SV"/>
          </w:rPr>
          <w:t>adquisiciones.sv@undp.org</w:t>
        </w:r>
      </w:hyperlink>
      <w:r>
        <w:t xml:space="preserve"> </w:t>
      </w:r>
      <w:r w:rsidR="00290B0C">
        <w:t xml:space="preserve"> antes </w:t>
      </w:r>
      <w:proofErr w:type="gramStart"/>
      <w:r w:rsidR="00290B0C">
        <w:t>del</w:t>
      </w:r>
      <w:r w:rsidR="002E434A">
        <w:t xml:space="preserve"> </w:t>
      </w:r>
      <w:r w:rsidR="00E54FC4">
        <w:t xml:space="preserve"> </w:t>
      </w:r>
      <w:r w:rsidR="006E7431">
        <w:rPr>
          <w:b/>
          <w:bCs/>
        </w:rPr>
        <w:t>20</w:t>
      </w:r>
      <w:proofErr w:type="gramEnd"/>
      <w:r w:rsidR="002E434A" w:rsidRPr="00A72207">
        <w:rPr>
          <w:b/>
          <w:bCs/>
        </w:rPr>
        <w:t xml:space="preserve"> de </w:t>
      </w:r>
      <w:r w:rsidR="0002427D">
        <w:rPr>
          <w:b/>
          <w:bCs/>
        </w:rPr>
        <w:t>septiembre</w:t>
      </w:r>
      <w:r w:rsidR="00CE489B">
        <w:rPr>
          <w:b/>
          <w:bCs/>
        </w:rPr>
        <w:t xml:space="preserve"> </w:t>
      </w:r>
      <w:r w:rsidR="002E434A" w:rsidRPr="00A72207">
        <w:rPr>
          <w:b/>
          <w:bCs/>
        </w:rPr>
        <w:t>de 20</w:t>
      </w:r>
      <w:r w:rsidR="007450F4" w:rsidRPr="00A72207">
        <w:rPr>
          <w:b/>
          <w:bCs/>
        </w:rPr>
        <w:t>2</w:t>
      </w:r>
      <w:r w:rsidR="00867583">
        <w:rPr>
          <w:b/>
          <w:bCs/>
        </w:rPr>
        <w:t>1</w:t>
      </w:r>
      <w:r w:rsidR="007039BC">
        <w:t>, se</w:t>
      </w:r>
      <w:r>
        <w:t xml:space="preserve"> </w:t>
      </w:r>
      <w:r w:rsidR="007039BC">
        <w:t>responderá por correo electrónico estándar, y enviará copias escritas de la respuesta a todos los consultores, incluida una explicación de la consulta sin identificar la fuente.</w:t>
      </w:r>
    </w:p>
    <w:p w14:paraId="33994E6F" w14:textId="77777777" w:rsidR="00F71C77" w:rsidRPr="00E778D3" w:rsidRDefault="00F71C77" w:rsidP="00F71C77">
      <w:pPr>
        <w:pStyle w:val="NormalWeb"/>
        <w:spacing w:line="312" w:lineRule="auto"/>
        <w:rPr>
          <w:rFonts w:asciiTheme="minorHAnsi" w:eastAsiaTheme="minorHAnsi" w:hAnsiTheme="minorHAnsi" w:cstheme="minorBidi"/>
          <w:sz w:val="22"/>
          <w:szCs w:val="22"/>
          <w:lang w:val="es-ES" w:eastAsia="es-ES" w:bidi="es-ES"/>
        </w:rPr>
      </w:pPr>
      <w:r w:rsidRPr="00E778D3">
        <w:rPr>
          <w:rFonts w:asciiTheme="minorHAnsi" w:eastAsiaTheme="minorHAnsi" w:hAnsiTheme="minorHAnsi" w:cstheme="minorBidi"/>
          <w:sz w:val="22"/>
          <w:szCs w:val="22"/>
          <w:lang w:val="es-ES" w:eastAsia="es-ES" w:bidi="es-ES"/>
        </w:rPr>
        <w:t>El PNUD queda a la espera de recibir su Oferta y le da las gracias de antemano por su interés en las oportunidades de adquisición que ofrece el PNUD.</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11D1F75F" w14:textId="77777777" w:rsidR="006E7431" w:rsidRDefault="006E7431" w:rsidP="006E7431">
            <w:pPr>
              <w:jc w:val="both"/>
              <w:rPr>
                <w:rFonts w:cs="Calibri"/>
                <w:lang w:val="es-MX"/>
              </w:rPr>
            </w:pPr>
            <w:r>
              <w:rPr>
                <w:rFonts w:cs="Calibri"/>
                <w:lang w:val="es-MX"/>
              </w:rPr>
              <w:t xml:space="preserve">La Oficina del Alto Comisionado de las Naciones Unidas para los Derechos Humanos (OACNUDH), realiza su mandato por medio de una Oficina Regional para América Central y el Caribe (ROCA), en los países que forman parte de su comprensión territorial (Panamá, Costa Rica, Nicaragua, El Salvador, Belice y República Dominicana). ROCA cuenta con un equipo de oficiales nacionales y extranjeros destacados en Panamá, y para El Salvador, con una Oficina de Proyectos integrada por oficiales nacionales que </w:t>
            </w:r>
            <w:r>
              <w:rPr>
                <w:rFonts w:cs="Calibri"/>
                <w:lang w:val="es-MX"/>
              </w:rPr>
              <w:lastRenderedPageBreak/>
              <w:t xml:space="preserve">también realizan funciones de apoyo en materia de derechos humanos a la Oficina de la Coordinadora Residente y al Equipo de País de las Naciones Unidas. </w:t>
            </w:r>
          </w:p>
          <w:p w14:paraId="3F0BB76D" w14:textId="77777777" w:rsidR="006E7431" w:rsidRDefault="006E7431" w:rsidP="006E7431">
            <w:pPr>
              <w:jc w:val="both"/>
              <w:rPr>
                <w:rFonts w:cs="Calibri"/>
                <w:lang w:val="es-MX"/>
              </w:rPr>
            </w:pPr>
          </w:p>
          <w:p w14:paraId="3F88A81D" w14:textId="77777777" w:rsidR="006E7431" w:rsidRPr="004455ED" w:rsidRDefault="006E7431" w:rsidP="006E7431">
            <w:pPr>
              <w:jc w:val="both"/>
              <w:rPr>
                <w:rFonts w:cs="Calibri"/>
                <w:lang w:val="es-MX"/>
              </w:rPr>
            </w:pPr>
            <w:r>
              <w:rPr>
                <w:rFonts w:cs="Calibri"/>
                <w:lang w:val="es-MX"/>
              </w:rPr>
              <w:t xml:space="preserve">La Oficina de Proyectos sirve de apoyo en el terreno a las operaciones que planifica ROCA y canaliza hacia ella las necesidades de las organizaciones sociales que trabajan temas de derechos humanos, así como las inquietudes o solicitudes de instancias del Estado. La coordinación del trabajo en El Salvador está a cargo de un Oficial Nacional Senior de Derechos Humanos, quien realiza tareas técnicas de monitoreo, recopilación y traslado de información, análisis y elaboración de documentos, diseño de propuestas de trabajo y ejecuta iniciativas para la protección y la promoción de los derechos humanos, tal como lo establece el mandato de la OACNUDH; asimismo, toma contacto y coordina acciones de incidencia con representantes de organizaciones sociales y con el funcionariado público, según su competencia. La Oficina de Proyectos también </w:t>
            </w:r>
            <w:r w:rsidRPr="004455ED">
              <w:rPr>
                <w:rFonts w:cs="Calibri"/>
                <w:lang w:val="es-MX"/>
              </w:rPr>
              <w:t>cuenta con una Oficial de Proyectos, quien se encarga de todas las actividades de apoyo administrativo, logístico y financiero, y una Oficial de Derechos Humanos, que se encarga de asistir temáticas específicas desde el enfoque sociológico</w:t>
            </w:r>
            <w:r>
              <w:rPr>
                <w:rFonts w:cs="Calibri"/>
                <w:lang w:val="es-MX"/>
              </w:rPr>
              <w:t>.</w:t>
            </w:r>
          </w:p>
          <w:p w14:paraId="78A6405E" w14:textId="77777777" w:rsidR="006E7431" w:rsidRDefault="006E7431" w:rsidP="006E7431">
            <w:pPr>
              <w:jc w:val="both"/>
              <w:rPr>
                <w:rFonts w:cs="Calibri"/>
                <w:lang w:val="es-MX"/>
              </w:rPr>
            </w:pPr>
          </w:p>
          <w:p w14:paraId="1D003C34" w14:textId="77777777" w:rsidR="006E7431" w:rsidRDefault="006E7431" w:rsidP="006E7431">
            <w:pPr>
              <w:jc w:val="both"/>
              <w:rPr>
                <w:rFonts w:cs="Calibri"/>
                <w:lang w:val="es-ES_tradnl"/>
              </w:rPr>
            </w:pPr>
            <w:r>
              <w:rPr>
                <w:rFonts w:cs="Calibri"/>
                <w:lang w:val="es-MX"/>
              </w:rPr>
              <w:t xml:space="preserve">ROCA </w:t>
            </w:r>
            <w:r>
              <w:rPr>
                <w:rFonts w:cs="Calibri"/>
                <w:lang w:val="es-ES_tradnl"/>
              </w:rPr>
              <w:t xml:space="preserve">brinda </w:t>
            </w:r>
            <w:r w:rsidRPr="004455ED">
              <w:rPr>
                <w:rFonts w:cs="Calibri"/>
                <w:lang w:val="es-ES_tradnl"/>
              </w:rPr>
              <w:t xml:space="preserve">acompañamiento a </w:t>
            </w:r>
            <w:r>
              <w:rPr>
                <w:rFonts w:cs="Calibri"/>
                <w:lang w:val="es-ES_tradnl"/>
              </w:rPr>
              <w:t>diferentes</w:t>
            </w:r>
            <w:r w:rsidRPr="004455ED">
              <w:rPr>
                <w:rFonts w:cs="Calibri"/>
                <w:lang w:val="es-ES_tradnl"/>
              </w:rPr>
              <w:t xml:space="preserve"> organizaciones sociales</w:t>
            </w:r>
            <w:r>
              <w:rPr>
                <w:rFonts w:cs="Calibri"/>
                <w:lang w:val="es-ES_tradnl"/>
              </w:rPr>
              <w:t>,</w:t>
            </w:r>
            <w:r w:rsidRPr="004455ED">
              <w:rPr>
                <w:rFonts w:cs="Calibri"/>
                <w:lang w:val="es-ES_tradnl"/>
              </w:rPr>
              <w:t xml:space="preserve"> y </w:t>
            </w:r>
            <w:r>
              <w:rPr>
                <w:rFonts w:cs="Calibri"/>
                <w:lang w:val="es-ES_tradnl"/>
              </w:rPr>
              <w:t xml:space="preserve">provee </w:t>
            </w:r>
            <w:r w:rsidRPr="004455ED">
              <w:rPr>
                <w:rFonts w:cs="Calibri"/>
                <w:lang w:val="es-ES_tradnl"/>
              </w:rPr>
              <w:t>a</w:t>
            </w:r>
            <w:r>
              <w:rPr>
                <w:rFonts w:cs="Calibri"/>
                <w:lang w:val="es-ES_tradnl"/>
              </w:rPr>
              <w:t>sistencia técnica, dentro de los parámetros de su mandato, a las</w:t>
            </w:r>
            <w:r w:rsidRPr="004455ED">
              <w:rPr>
                <w:rFonts w:cs="Calibri"/>
                <w:lang w:val="es-ES_tradnl"/>
              </w:rPr>
              <w:t xml:space="preserve"> instancias del Estado</w:t>
            </w:r>
            <w:r>
              <w:rPr>
                <w:rFonts w:cs="Calibri"/>
                <w:lang w:val="es-ES_tradnl"/>
              </w:rPr>
              <w:t xml:space="preserve">. Para lograrlo, es indispensable que cuente con información actualizada, tanto sobre los compromisos y las recomendaciones internacionales que le son generadas al Estado, como de los avances en su observancia y cumplimiento. </w:t>
            </w:r>
          </w:p>
          <w:p w14:paraId="2D1259A7" w14:textId="77777777" w:rsidR="006E7431" w:rsidRDefault="006E7431" w:rsidP="006E7431">
            <w:pPr>
              <w:jc w:val="both"/>
              <w:rPr>
                <w:rFonts w:cs="Calibri"/>
                <w:lang w:val="es-ES_tradnl"/>
              </w:rPr>
            </w:pPr>
          </w:p>
          <w:p w14:paraId="34062F70" w14:textId="77777777" w:rsidR="006E7431" w:rsidRDefault="006E7431" w:rsidP="006E7431">
            <w:pPr>
              <w:jc w:val="both"/>
              <w:rPr>
                <w:rFonts w:cs="Calibri"/>
                <w:lang w:val="es-ES_tradnl"/>
              </w:rPr>
            </w:pPr>
            <w:r>
              <w:rPr>
                <w:rFonts w:cs="Calibri"/>
                <w:lang w:val="es-ES_tradnl"/>
              </w:rPr>
              <w:t>En tal sentido, ROCA ha tomado nota que en el marco del tercer ciclo del Examen Periódico Universal (EPU), El Salvador recibió recomendaciones para adoptar medidas adicionales para hacer frente, especialmente, a los delitos de odio,</w:t>
            </w:r>
            <w:r>
              <w:rPr>
                <w:rStyle w:val="Refdenotaalpie"/>
                <w:rFonts w:cs="Calibri"/>
                <w:lang w:val="es-ES_tradnl"/>
              </w:rPr>
              <w:footnoteReference w:id="1"/>
            </w:r>
            <w:r>
              <w:rPr>
                <w:rFonts w:cs="Calibri"/>
                <w:lang w:val="es-ES_tradnl"/>
              </w:rPr>
              <w:t xml:space="preserve"> llevando a cabo evaluaciones periódicas y amplias de la eficiencia y eficacia de las políticas y programas de lucha contra la corrupción.</w:t>
            </w:r>
            <w:r>
              <w:rPr>
                <w:rStyle w:val="Refdenotaalpie"/>
                <w:rFonts w:cs="Calibri"/>
                <w:lang w:val="es-ES_tradnl"/>
              </w:rPr>
              <w:footnoteReference w:id="2"/>
            </w:r>
            <w:r>
              <w:rPr>
                <w:rFonts w:cs="Calibri"/>
                <w:lang w:val="es-ES_tradnl"/>
              </w:rPr>
              <w:t xml:space="preserve"> Sin hacer alusión expresa a “crímenes o delitos de odio”, en el marco del tercer ciclo del EPU, El Salvador aceptó también trabajar en reforzar las políticas destinadas a combatir, inter </w:t>
            </w:r>
            <w:proofErr w:type="spellStart"/>
            <w:r>
              <w:rPr>
                <w:rFonts w:cs="Calibri"/>
                <w:lang w:val="es-ES_tradnl"/>
              </w:rPr>
              <w:t>alia</w:t>
            </w:r>
            <w:proofErr w:type="spellEnd"/>
            <w:r>
              <w:rPr>
                <w:rFonts w:cs="Calibri"/>
                <w:lang w:val="es-ES_tradnl"/>
              </w:rPr>
              <w:t>, la violencia contra la comunidad LGBTIQ</w:t>
            </w:r>
            <w:r w:rsidRPr="00E3692E">
              <w:t xml:space="preserve"> </w:t>
            </w:r>
            <w:r>
              <w:t>+</w:t>
            </w:r>
            <w:r>
              <w:rPr>
                <w:rFonts w:cs="Calibri"/>
                <w:lang w:val="es-ES_tradnl"/>
              </w:rPr>
              <w:t>,</w:t>
            </w:r>
            <w:r>
              <w:rPr>
                <w:rStyle w:val="Refdenotaalpie"/>
                <w:rFonts w:cs="Calibri"/>
                <w:lang w:val="es-ES_tradnl"/>
              </w:rPr>
              <w:footnoteReference w:id="3"/>
            </w:r>
            <w:r>
              <w:rPr>
                <w:rFonts w:cs="Calibri"/>
                <w:lang w:val="es-ES_tradnl"/>
              </w:rPr>
              <w:t xml:space="preserve"> así como aplicar políticas y realizar investigaciones imparciales y efectivas respecto de la violencia que pueden enfrentar, entre otros, las mujeres —por razón de género— y las personas LGBTIQ</w:t>
            </w:r>
            <w:r w:rsidRPr="00E3692E">
              <w:t xml:space="preserve"> </w:t>
            </w:r>
            <w:r>
              <w:t>+</w:t>
            </w:r>
            <w:r>
              <w:rPr>
                <w:rFonts w:cs="Calibri"/>
                <w:lang w:val="es-ES_tradnl"/>
              </w:rPr>
              <w:t>.</w:t>
            </w:r>
            <w:r>
              <w:rPr>
                <w:rStyle w:val="Refdenotaalpie"/>
                <w:rFonts w:cs="Calibri"/>
                <w:lang w:val="es-ES_tradnl"/>
              </w:rPr>
              <w:footnoteReference w:id="4"/>
            </w:r>
          </w:p>
          <w:p w14:paraId="6C56B85F" w14:textId="77777777" w:rsidR="006E7431" w:rsidRDefault="006E7431" w:rsidP="006E7431">
            <w:pPr>
              <w:jc w:val="both"/>
              <w:rPr>
                <w:rFonts w:cs="Calibri"/>
                <w:lang w:val="es-MX"/>
              </w:rPr>
            </w:pPr>
          </w:p>
          <w:p w14:paraId="55EC08CD" w14:textId="77777777" w:rsidR="006E7431" w:rsidRDefault="006E7431" w:rsidP="006E7431">
            <w:pPr>
              <w:jc w:val="both"/>
              <w:rPr>
                <w:rFonts w:cs="Calibri"/>
                <w:lang w:val="es-MX"/>
              </w:rPr>
            </w:pPr>
            <w:r>
              <w:rPr>
                <w:rFonts w:cstheme="minorHAnsi"/>
                <w:lang w:val="es-MX"/>
              </w:rPr>
              <w:t>E</w:t>
            </w:r>
            <w:r w:rsidRPr="006037A3">
              <w:rPr>
                <w:rFonts w:cstheme="minorHAnsi"/>
                <w:lang w:val="es-MX"/>
              </w:rPr>
              <w:t>n 2015</w:t>
            </w:r>
            <w:r>
              <w:rPr>
                <w:rFonts w:cstheme="minorHAnsi"/>
                <w:lang w:val="es-MX"/>
              </w:rPr>
              <w:t xml:space="preserve">, se desarrolló </w:t>
            </w:r>
            <w:r w:rsidRPr="006037A3">
              <w:rPr>
                <w:rFonts w:cstheme="minorHAnsi"/>
                <w:lang w:val="es-MX"/>
              </w:rPr>
              <w:t xml:space="preserve">una reforma al Código Penal, referida a la incorporación de los crímenes cometidos por odio y amenazas motivadas por odio a la expresión de género, como agravantes del delito de homicidio y amenazas. En el año 2017 la </w:t>
            </w:r>
            <w:r>
              <w:rPr>
                <w:rFonts w:cstheme="minorHAnsi"/>
                <w:lang w:val="es-MX"/>
              </w:rPr>
              <w:t>Procuraduría para la Defensa de los Derechos Humanos (PDDH)</w:t>
            </w:r>
            <w:r w:rsidRPr="006037A3">
              <w:rPr>
                <w:rFonts w:cstheme="minorHAnsi"/>
                <w:lang w:val="es-MX"/>
              </w:rPr>
              <w:t>, presentó un informe situacional en el que analizó 19 homicidios de personas LGBTIQ</w:t>
            </w:r>
            <w:r w:rsidRPr="00E3692E">
              <w:t xml:space="preserve"> </w:t>
            </w:r>
            <w:r>
              <w:t>+</w:t>
            </w:r>
            <w:r w:rsidRPr="006037A3">
              <w:rPr>
                <w:rFonts w:cstheme="minorHAnsi"/>
                <w:lang w:val="es-MX"/>
              </w:rPr>
              <w:t>, con el objetivo de verificar la actuación y respuesta del Estado, dicho informe incorporó una serie de recomendaciones a diferentes instituciones públicas.</w:t>
            </w:r>
            <w:r>
              <w:rPr>
                <w:rStyle w:val="Refdenotaalpie"/>
                <w:rFonts w:cstheme="minorHAnsi"/>
                <w:lang w:val="es-MX"/>
              </w:rPr>
              <w:footnoteReference w:id="5"/>
            </w:r>
            <w:r w:rsidRPr="006037A3">
              <w:rPr>
                <w:rFonts w:cstheme="minorHAnsi"/>
                <w:lang w:val="es-MX"/>
              </w:rPr>
              <w:t xml:space="preserve">  </w:t>
            </w:r>
          </w:p>
          <w:p w14:paraId="5B1A76B7" w14:textId="77777777" w:rsidR="006E7431" w:rsidRDefault="006E7431" w:rsidP="006E7431">
            <w:pPr>
              <w:jc w:val="both"/>
              <w:rPr>
                <w:rFonts w:cs="Calibri"/>
                <w:lang w:val="es-MX"/>
              </w:rPr>
            </w:pPr>
          </w:p>
          <w:p w14:paraId="214926F2" w14:textId="77777777" w:rsidR="006E7431" w:rsidRPr="003027AE" w:rsidRDefault="006E7431" w:rsidP="006E7431">
            <w:pPr>
              <w:jc w:val="both"/>
              <w:rPr>
                <w:rFonts w:cstheme="minorHAnsi"/>
                <w:lang w:val="es-MX"/>
              </w:rPr>
            </w:pPr>
            <w:r>
              <w:rPr>
                <w:rFonts w:cstheme="minorHAnsi"/>
                <w:lang w:val="es-MX"/>
              </w:rPr>
              <w:t xml:space="preserve">A pesar de esta modificación normativa, y de las recomendaciones formuladas por la PDDH, ROCA no tiene información actualizada sobre el grado de cumplimiento de las recomendaciones del EPU en </w:t>
            </w:r>
            <w:r>
              <w:rPr>
                <w:rFonts w:cstheme="minorHAnsi"/>
                <w:lang w:val="es-MX"/>
              </w:rPr>
              <w:lastRenderedPageBreak/>
              <w:t>materia de crímenes de odio, ni de las propias recomendaciones de la PDDH. Esta información es de especial relevancia para la labor de ROCA, porque permite advertir las ventanas de oportunidad para concretizar su mandato de acompañamiento a la sociedad civil y de asistencia técnica a las entidades estatales concernidas, con miras a fortalecer la prevención de los crímenes de odio, y de tratarlos con la debida diligencia y la reparación integral para las víctimas, evitando su impunidad.</w:t>
            </w:r>
          </w:p>
          <w:p w14:paraId="0E67CAF0" w14:textId="77777777" w:rsidR="006E7431" w:rsidRDefault="006E7431" w:rsidP="006E7431">
            <w:pPr>
              <w:jc w:val="both"/>
              <w:rPr>
                <w:rFonts w:cs="Calibri"/>
                <w:lang w:val="es-MX"/>
              </w:rPr>
            </w:pPr>
          </w:p>
          <w:p w14:paraId="7F44246E" w14:textId="77777777" w:rsidR="00F35850" w:rsidRPr="006E7431" w:rsidRDefault="00F35850" w:rsidP="00F35850">
            <w:pPr>
              <w:jc w:val="both"/>
              <w:rPr>
                <w:rFonts w:cstheme="minorHAnsi"/>
                <w:lang w:val="es-MX"/>
              </w:rPr>
            </w:pPr>
          </w:p>
          <w:p w14:paraId="06A0B49C" w14:textId="77777777" w:rsidR="0052326E" w:rsidRPr="00F35850" w:rsidRDefault="0052326E" w:rsidP="00AD1727">
            <w:pPr>
              <w:pStyle w:val="Prrafodelista1"/>
              <w:spacing w:line="276" w:lineRule="auto"/>
              <w:ind w:left="0"/>
              <w:jc w:val="both"/>
              <w:rPr>
                <w:rFonts w:eastAsia="Times New Roman" w:cs="Arial"/>
                <w:b/>
                <w:bCs/>
                <w:sz w:val="24"/>
                <w:szCs w:val="24"/>
                <w:lang w:val="es-ES_tradnl"/>
              </w:rPr>
            </w:pPr>
          </w:p>
          <w:p w14:paraId="65AA9D35" w14:textId="7D09D0CC" w:rsidR="00AD1727" w:rsidRPr="00F51219" w:rsidRDefault="00037E8F" w:rsidP="00E778D3">
            <w:pPr>
              <w:jc w:val="both"/>
              <w:rPr>
                <w:rFonts w:cstheme="minorHAnsi"/>
                <w:kern w:val="28"/>
              </w:rPr>
            </w:pPr>
            <w:r>
              <w:rPr>
                <w:b/>
              </w:rPr>
              <w:t xml:space="preserve">Ver </w:t>
            </w:r>
            <w:proofErr w:type="spellStart"/>
            <w:r>
              <w:rPr>
                <w:b/>
              </w:rPr>
              <w:t>mas</w:t>
            </w:r>
            <w:proofErr w:type="spellEnd"/>
            <w:r>
              <w:rPr>
                <w:b/>
              </w:rPr>
              <w:t xml:space="preserve"> información en ANEXO I</w:t>
            </w: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2C0815A5" w14:textId="77777777" w:rsidR="0052326E" w:rsidRPr="0052326E" w:rsidRDefault="0052326E" w:rsidP="0052326E">
            <w:pPr>
              <w:rPr>
                <w:b/>
                <w:lang w:val="es-ES_tradnl"/>
              </w:rPr>
            </w:pPr>
            <w:r w:rsidRPr="0052326E">
              <w:rPr>
                <w:b/>
                <w:lang w:val="es-ES_tradnl"/>
              </w:rPr>
              <w:t>ALCANCE DE LOS SERVICIOS</w:t>
            </w:r>
          </w:p>
          <w:p w14:paraId="4D332738" w14:textId="77777777" w:rsidR="0052326E" w:rsidRPr="00357102" w:rsidRDefault="0052326E" w:rsidP="0052326E">
            <w:pPr>
              <w:rPr>
                <w:b/>
                <w:lang w:val="es-ES_tradnl"/>
              </w:rPr>
            </w:pPr>
          </w:p>
          <w:p w14:paraId="55E4E941" w14:textId="77777777" w:rsidR="00094AF4" w:rsidRPr="00B61D4C" w:rsidRDefault="00094AF4" w:rsidP="00094AF4">
            <w:pPr>
              <w:jc w:val="both"/>
              <w:rPr>
                <w:rFonts w:eastAsia="Times New Roman" w:cstheme="minorHAnsi"/>
                <w:kern w:val="28"/>
                <w:lang w:val="es-ES_tradnl"/>
              </w:rPr>
            </w:pPr>
            <w:r w:rsidRPr="00B61D4C">
              <w:rPr>
                <w:rFonts w:eastAsia="Times New Roman" w:cstheme="minorHAnsi"/>
                <w:kern w:val="28"/>
                <w:lang w:val="es-ES_tradnl"/>
              </w:rPr>
              <w:t>La persona consultora realizará las siguientes actividades:</w:t>
            </w:r>
          </w:p>
          <w:p w14:paraId="49D54D50" w14:textId="77777777" w:rsidR="00094AF4" w:rsidRPr="00B61D4C" w:rsidRDefault="00094AF4" w:rsidP="00094AF4">
            <w:pPr>
              <w:pStyle w:val="Prrafodelista"/>
              <w:jc w:val="both"/>
              <w:rPr>
                <w:rFonts w:eastAsia="Times New Roman" w:cstheme="minorHAnsi"/>
                <w:kern w:val="28"/>
                <w:lang w:val="es-ES_tradnl"/>
              </w:rPr>
            </w:pPr>
          </w:p>
          <w:p w14:paraId="1703C2B8"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Elaborar un plan de trabajo para la realización de la consultoría.</w:t>
            </w:r>
          </w:p>
          <w:p w14:paraId="0651B95B"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Revisar los informes de organismos nacionales e internacionales de derechos humanos y sociedad civil que contengan información sobre crímenes de odio contra la población LGBTIQ</w:t>
            </w:r>
            <w:r>
              <w:rPr>
                <w:rFonts w:eastAsia="Times New Roman" w:cstheme="minorHAnsi"/>
                <w:kern w:val="28"/>
                <w:lang w:val="es-ES_tradnl"/>
              </w:rPr>
              <w:t>+</w:t>
            </w:r>
            <w:r w:rsidRPr="006037A3">
              <w:rPr>
                <w:rFonts w:eastAsia="Times New Roman" w:cstheme="minorHAnsi"/>
                <w:kern w:val="28"/>
                <w:lang w:val="es-ES_tradnl"/>
              </w:rPr>
              <w:t xml:space="preserve"> y recomendaciones para el Estado salvadoreño y su institucionalidad.</w:t>
            </w:r>
          </w:p>
          <w:p w14:paraId="0840877E"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Analizar el contexto de los casos de crímenes de odio contra la población LGBTIQ</w:t>
            </w:r>
            <w:r>
              <w:rPr>
                <w:rFonts w:eastAsia="Times New Roman" w:cstheme="minorHAnsi"/>
                <w:kern w:val="28"/>
                <w:lang w:val="es-ES_tradnl"/>
              </w:rPr>
              <w:t>+</w:t>
            </w:r>
            <w:r w:rsidRPr="006037A3">
              <w:rPr>
                <w:rFonts w:eastAsia="Times New Roman" w:cstheme="minorHAnsi"/>
                <w:kern w:val="28"/>
                <w:lang w:val="es-ES_tradnl"/>
              </w:rPr>
              <w:t xml:space="preserve"> registrados y documentados por instituciones púbicas, organismos nacionales e internacionales de derechos humanos y organizaciones de sociedad civil, en los últimos cinco años, a fin de identificar patrones.</w:t>
            </w:r>
          </w:p>
          <w:p w14:paraId="2E9A9F6D"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Analizar el abordaje que las instituciones públicas salvadoreñas han realizado a los casos de crímenes de odio contra la población LGBTIQ</w:t>
            </w:r>
            <w:r>
              <w:rPr>
                <w:rFonts w:eastAsia="Times New Roman" w:cstheme="minorHAnsi"/>
                <w:kern w:val="28"/>
                <w:lang w:val="es-ES_tradnl"/>
              </w:rPr>
              <w:t>+</w:t>
            </w:r>
            <w:r w:rsidRPr="006037A3">
              <w:rPr>
                <w:rFonts w:eastAsia="Times New Roman" w:cstheme="minorHAnsi"/>
                <w:kern w:val="28"/>
                <w:lang w:val="es-ES_tradnl"/>
              </w:rPr>
              <w:t>, a fin de identificar la efectividad de los derechos de las víctimas, particularmente: el acceso a la justicia, medidas de reparación y garantías de no repetición.</w:t>
            </w:r>
          </w:p>
          <w:p w14:paraId="7CE2EA57"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 xml:space="preserve">Identificar los avances y desafíos del país a partir de las recomendaciones de organismos internacionales de derechos humanos en la materia. </w:t>
            </w:r>
          </w:p>
          <w:p w14:paraId="28451254"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Formular recomendaciones técnicas orientadas a garantizar la aplicación de estándares internacionales en materia de derechos humanos en la actuación del Estado, ante a crímenes de odio contra la población LGBTIQ</w:t>
            </w:r>
            <w:r>
              <w:t>+</w:t>
            </w:r>
            <w:r w:rsidRPr="006037A3">
              <w:rPr>
                <w:rFonts w:eastAsia="Times New Roman" w:cstheme="minorHAnsi"/>
                <w:kern w:val="28"/>
                <w:lang w:val="es-ES_tradnl"/>
              </w:rPr>
              <w:t>. El énfasis de tales recomendaciones será el acceso a la justicia, medidas de reparación y garantías de no repetición.</w:t>
            </w:r>
          </w:p>
          <w:p w14:paraId="7CDCEAC4" w14:textId="77777777" w:rsidR="00094AF4" w:rsidRDefault="00094AF4" w:rsidP="00B30782">
            <w:pPr>
              <w:pStyle w:val="Prrafodelista"/>
              <w:numPr>
                <w:ilvl w:val="0"/>
                <w:numId w:val="7"/>
              </w:numPr>
              <w:jc w:val="both"/>
              <w:rPr>
                <w:rFonts w:eastAsia="Times New Roman" w:cstheme="minorHAnsi"/>
                <w:kern w:val="28"/>
                <w:lang w:val="es-ES_tradnl"/>
              </w:rPr>
            </w:pPr>
            <w:r w:rsidRPr="006037A3">
              <w:rPr>
                <w:rFonts w:eastAsia="Times New Roman" w:cstheme="minorHAnsi"/>
                <w:kern w:val="28"/>
                <w:lang w:val="es-ES_tradnl"/>
              </w:rPr>
              <w:t xml:space="preserve">Además de la revisión documental, </w:t>
            </w:r>
            <w:r>
              <w:rPr>
                <w:rFonts w:eastAsia="Times New Roman" w:cstheme="minorHAnsi"/>
                <w:kern w:val="28"/>
                <w:lang w:val="es-ES_tradnl"/>
              </w:rPr>
              <w:t xml:space="preserve">realizar </w:t>
            </w:r>
            <w:r w:rsidRPr="006037A3">
              <w:rPr>
                <w:rFonts w:eastAsia="Times New Roman" w:cstheme="minorHAnsi"/>
                <w:kern w:val="28"/>
                <w:lang w:val="es-ES_tradnl"/>
              </w:rPr>
              <w:t>consultas</w:t>
            </w:r>
            <w:r>
              <w:rPr>
                <w:rFonts w:eastAsia="Times New Roman" w:cstheme="minorHAnsi"/>
                <w:kern w:val="28"/>
                <w:lang w:val="es-ES_tradnl"/>
              </w:rPr>
              <w:t xml:space="preserve"> y entrevistas</w:t>
            </w:r>
            <w:r w:rsidRPr="006037A3">
              <w:rPr>
                <w:rFonts w:eastAsia="Times New Roman" w:cstheme="minorHAnsi"/>
                <w:kern w:val="28"/>
                <w:lang w:val="es-ES_tradnl"/>
              </w:rPr>
              <w:t xml:space="preserve"> con personas expertas </w:t>
            </w:r>
            <w:r>
              <w:rPr>
                <w:rFonts w:eastAsia="Times New Roman" w:cstheme="minorHAnsi"/>
                <w:kern w:val="28"/>
                <w:lang w:val="es-ES_tradnl"/>
              </w:rPr>
              <w:t>en materia de género y diversidad</w:t>
            </w:r>
          </w:p>
          <w:p w14:paraId="422761A1" w14:textId="77777777" w:rsidR="00094AF4" w:rsidRPr="002B00BA" w:rsidRDefault="00094AF4" w:rsidP="00094AF4">
            <w:pPr>
              <w:pStyle w:val="Prrafodelista"/>
              <w:jc w:val="both"/>
              <w:rPr>
                <w:rFonts w:eastAsia="Times New Roman" w:cstheme="minorHAnsi"/>
                <w:kern w:val="28"/>
                <w:lang w:val="es-ES_tradnl"/>
              </w:rPr>
            </w:pPr>
          </w:p>
          <w:p w14:paraId="0C98EE52" w14:textId="77777777" w:rsidR="0052326E" w:rsidRPr="00F35850" w:rsidRDefault="0052326E" w:rsidP="00F35850">
            <w:pPr>
              <w:jc w:val="both"/>
              <w:rPr>
                <w:rFonts w:eastAsia="Times New Roman" w:cstheme="minorHAnsi"/>
                <w:kern w:val="28"/>
                <w:lang w:val="es-ES_tradnl"/>
              </w:rPr>
            </w:pPr>
          </w:p>
          <w:p w14:paraId="61FB6494" w14:textId="77777777" w:rsidR="0052326E" w:rsidRPr="00357102" w:rsidRDefault="0052326E" w:rsidP="0052326E">
            <w:pPr>
              <w:jc w:val="both"/>
              <w:rPr>
                <w:rFonts w:cstheme="minorHAnsi"/>
                <w:lang w:val="es-MX"/>
              </w:rPr>
            </w:pPr>
          </w:p>
          <w:p w14:paraId="7BD866C6" w14:textId="77777777" w:rsidR="00A129A4" w:rsidRPr="0052326E" w:rsidRDefault="00A129A4" w:rsidP="001F6892">
            <w:pPr>
              <w:widowControl w:val="0"/>
              <w:overflowPunct w:val="0"/>
              <w:autoSpaceDE w:val="0"/>
              <w:autoSpaceDN w:val="0"/>
              <w:adjustRightInd w:val="0"/>
              <w:jc w:val="both"/>
              <w:rPr>
                <w:b/>
                <w:lang w:val="es-MX"/>
              </w:rPr>
            </w:pPr>
          </w:p>
          <w:p w14:paraId="65AA9D3C" w14:textId="7B5E99BE" w:rsidR="00037E8F" w:rsidRPr="00C2690D" w:rsidRDefault="00037E8F" w:rsidP="001F6892">
            <w:pPr>
              <w:widowControl w:val="0"/>
              <w:overflowPunct w:val="0"/>
              <w:autoSpaceDE w:val="0"/>
              <w:autoSpaceDN w:val="0"/>
              <w:adjustRightInd w:val="0"/>
              <w:jc w:val="both"/>
              <w:rPr>
                <w:b/>
              </w:rPr>
            </w:pPr>
            <w:r>
              <w:rPr>
                <w:b/>
              </w:rPr>
              <w:t xml:space="preserve">Ver </w:t>
            </w:r>
            <w:proofErr w:type="spellStart"/>
            <w:r>
              <w:rPr>
                <w:b/>
              </w:rPr>
              <w:t>mas</w:t>
            </w:r>
            <w:proofErr w:type="spellEnd"/>
            <w:r>
              <w:rPr>
                <w:b/>
              </w:rPr>
              <w:t xml:space="preserve"> información en ANEXO I</w:t>
            </w:r>
          </w:p>
        </w:tc>
      </w:tr>
    </w:tbl>
    <w:p w14:paraId="09A1D858" w14:textId="42A93BE9"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Style w:val="Tablaconcuadrcula"/>
              <w:tblW w:w="0" w:type="auto"/>
              <w:tblLook w:val="04A0" w:firstRow="1" w:lastRow="0" w:firstColumn="1" w:lastColumn="0" w:noHBand="0" w:noVBand="1"/>
            </w:tblPr>
            <w:tblGrid>
              <w:gridCol w:w="6941"/>
              <w:gridCol w:w="2075"/>
            </w:tblGrid>
            <w:tr w:rsidR="00094AF4" w:rsidRPr="00357102" w14:paraId="2DE06E02" w14:textId="77777777" w:rsidTr="00094AF4">
              <w:tc>
                <w:tcPr>
                  <w:tcW w:w="6941" w:type="dxa"/>
                </w:tcPr>
                <w:p w14:paraId="642A6E0D" w14:textId="77777777" w:rsidR="00094AF4" w:rsidRPr="00357102" w:rsidRDefault="00094AF4" w:rsidP="00094AF4">
                  <w:pPr>
                    <w:jc w:val="center"/>
                    <w:rPr>
                      <w:b/>
                      <w:lang w:val="es-ES_tradnl"/>
                    </w:rPr>
                  </w:pPr>
                  <w:r w:rsidRPr="00357102">
                    <w:rPr>
                      <w:b/>
                      <w:lang w:val="es-ES_tradnl"/>
                    </w:rPr>
                    <w:t>Criterios de selección</w:t>
                  </w:r>
                </w:p>
              </w:tc>
              <w:tc>
                <w:tcPr>
                  <w:tcW w:w="2075" w:type="dxa"/>
                </w:tcPr>
                <w:p w14:paraId="4ACCCCFA" w14:textId="77777777" w:rsidR="00094AF4" w:rsidRPr="00357102" w:rsidRDefault="00094AF4" w:rsidP="00094AF4">
                  <w:pPr>
                    <w:jc w:val="center"/>
                    <w:rPr>
                      <w:b/>
                      <w:lang w:val="es-ES_tradnl"/>
                    </w:rPr>
                  </w:pPr>
                  <w:r w:rsidRPr="00357102">
                    <w:rPr>
                      <w:b/>
                      <w:lang w:val="es-ES_tradnl"/>
                    </w:rPr>
                    <w:t>Puntaje</w:t>
                  </w:r>
                  <w:r>
                    <w:rPr>
                      <w:b/>
                      <w:lang w:val="es-ES_tradnl"/>
                    </w:rPr>
                    <w:t xml:space="preserve"> máximo</w:t>
                  </w:r>
                </w:p>
              </w:tc>
            </w:tr>
            <w:tr w:rsidR="00094AF4" w:rsidRPr="00357102" w14:paraId="46497788" w14:textId="77777777" w:rsidTr="00094AF4">
              <w:tc>
                <w:tcPr>
                  <w:tcW w:w="6941" w:type="dxa"/>
                </w:tcPr>
                <w:p w14:paraId="15E91EBE" w14:textId="77777777" w:rsidR="00094AF4" w:rsidRPr="00425C94" w:rsidRDefault="00094AF4" w:rsidP="00094AF4">
                  <w:pPr>
                    <w:jc w:val="both"/>
                    <w:rPr>
                      <w:rFonts w:cstheme="minorHAnsi"/>
                    </w:rPr>
                  </w:pPr>
                  <w:r w:rsidRPr="009C6C13">
                    <w:rPr>
                      <w:rFonts w:cstheme="minorHAnsi"/>
                    </w:rPr>
                    <w:t>Pregrado en ciencias jurídicas o ciencias sociales, y posgrado en derechos humanos.</w:t>
                  </w:r>
                </w:p>
                <w:p w14:paraId="2B4D1499" w14:textId="77777777" w:rsidR="00094AF4" w:rsidRPr="00D938B0" w:rsidRDefault="00094AF4" w:rsidP="00B30782">
                  <w:pPr>
                    <w:pStyle w:val="Prrafodelista"/>
                    <w:numPr>
                      <w:ilvl w:val="0"/>
                      <w:numId w:val="5"/>
                    </w:numPr>
                    <w:jc w:val="both"/>
                    <w:rPr>
                      <w:rFonts w:cstheme="minorHAnsi"/>
                    </w:rPr>
                  </w:pPr>
                  <w:r w:rsidRPr="00D938B0">
                    <w:rPr>
                      <w:rFonts w:cstheme="minorHAnsi"/>
                    </w:rPr>
                    <w:lastRenderedPageBreak/>
                    <w:t>Título universitario</w:t>
                  </w:r>
                  <w:r>
                    <w:rPr>
                      <w:rFonts w:cstheme="minorHAnsi"/>
                    </w:rPr>
                    <w:t xml:space="preserve"> de pregrado</w:t>
                  </w:r>
                  <w:r w:rsidRPr="00D938B0">
                    <w:rPr>
                      <w:rFonts w:cstheme="minorHAnsi"/>
                    </w:rPr>
                    <w:t>: 7 puntos</w:t>
                  </w:r>
                </w:p>
                <w:p w14:paraId="471C068D" w14:textId="77777777" w:rsidR="00094AF4" w:rsidRPr="00357102" w:rsidRDefault="00094AF4" w:rsidP="00B30782">
                  <w:pPr>
                    <w:pStyle w:val="Prrafodelista"/>
                    <w:numPr>
                      <w:ilvl w:val="0"/>
                      <w:numId w:val="5"/>
                    </w:numPr>
                    <w:jc w:val="both"/>
                    <w:rPr>
                      <w:rFonts w:cstheme="minorHAnsi"/>
                    </w:rPr>
                  </w:pPr>
                  <w:r w:rsidRPr="00357102">
                    <w:rPr>
                      <w:rFonts w:cstheme="minorHAnsi"/>
                    </w:rPr>
                    <w:t>Posgrado: 10 puntos</w:t>
                  </w:r>
                </w:p>
                <w:p w14:paraId="19342851" w14:textId="77777777" w:rsidR="00094AF4" w:rsidRPr="00357102" w:rsidRDefault="00094AF4" w:rsidP="00094AF4">
                  <w:pPr>
                    <w:jc w:val="center"/>
                    <w:rPr>
                      <w:b/>
                    </w:rPr>
                  </w:pPr>
                </w:p>
              </w:tc>
              <w:tc>
                <w:tcPr>
                  <w:tcW w:w="2075" w:type="dxa"/>
                </w:tcPr>
                <w:p w14:paraId="00FB5DC8" w14:textId="77777777" w:rsidR="00094AF4" w:rsidRPr="00357102" w:rsidRDefault="00094AF4" w:rsidP="00094AF4">
                  <w:pPr>
                    <w:jc w:val="center"/>
                    <w:rPr>
                      <w:lang w:val="es-ES_tradnl"/>
                    </w:rPr>
                  </w:pPr>
                  <w:r w:rsidRPr="00357102">
                    <w:rPr>
                      <w:lang w:val="es-ES_tradnl"/>
                    </w:rPr>
                    <w:lastRenderedPageBreak/>
                    <w:t>10 puntos</w:t>
                  </w:r>
                </w:p>
              </w:tc>
            </w:tr>
            <w:tr w:rsidR="00094AF4" w:rsidRPr="00357102" w14:paraId="732FE16B" w14:textId="77777777" w:rsidTr="00094AF4">
              <w:tc>
                <w:tcPr>
                  <w:tcW w:w="6941" w:type="dxa"/>
                </w:tcPr>
                <w:p w14:paraId="0B7B66E4" w14:textId="77777777" w:rsidR="00094AF4" w:rsidRDefault="00094AF4" w:rsidP="00094AF4">
                  <w:pPr>
                    <w:jc w:val="both"/>
                    <w:rPr>
                      <w:rFonts w:cs="Calibri"/>
                    </w:rPr>
                  </w:pPr>
                  <w:r w:rsidRPr="009C6C13">
                    <w:rPr>
                      <w:rFonts w:cs="Calibri"/>
                    </w:rPr>
                    <w:t xml:space="preserve">Experiencia acreditada de al menos 5 años en materia de género, victimología, políticas públicas o acceso a la justicia. </w:t>
                  </w:r>
                </w:p>
                <w:p w14:paraId="1826E68A" w14:textId="77777777" w:rsidR="00094AF4" w:rsidRPr="009C6C13" w:rsidRDefault="00094AF4" w:rsidP="00B30782">
                  <w:pPr>
                    <w:pStyle w:val="Prrafodelista"/>
                    <w:numPr>
                      <w:ilvl w:val="0"/>
                      <w:numId w:val="8"/>
                    </w:numPr>
                    <w:jc w:val="both"/>
                    <w:rPr>
                      <w:rFonts w:cstheme="minorHAnsi"/>
                    </w:rPr>
                  </w:pPr>
                  <w:r w:rsidRPr="009C6C13">
                    <w:rPr>
                      <w:rFonts w:cstheme="minorHAnsi"/>
                    </w:rPr>
                    <w:t>Menos de 5 años: 0 puntos</w:t>
                  </w:r>
                </w:p>
                <w:p w14:paraId="2766E7F8" w14:textId="77777777" w:rsidR="00094AF4" w:rsidRPr="00357102" w:rsidRDefault="00094AF4" w:rsidP="00B30782">
                  <w:pPr>
                    <w:pStyle w:val="Prrafodelista"/>
                    <w:numPr>
                      <w:ilvl w:val="0"/>
                      <w:numId w:val="3"/>
                    </w:numPr>
                    <w:jc w:val="both"/>
                    <w:rPr>
                      <w:rFonts w:cstheme="minorHAnsi"/>
                    </w:rPr>
                  </w:pPr>
                  <w:r>
                    <w:rPr>
                      <w:rFonts w:cstheme="minorHAnsi"/>
                    </w:rPr>
                    <w:t xml:space="preserve">5 años: 5.25 </w:t>
                  </w:r>
                  <w:r w:rsidRPr="00357102">
                    <w:rPr>
                      <w:rFonts w:cstheme="minorHAnsi"/>
                    </w:rPr>
                    <w:t>puntos</w:t>
                  </w:r>
                </w:p>
                <w:p w14:paraId="25E2A983" w14:textId="78949991" w:rsidR="00094AF4" w:rsidRPr="00403D7F" w:rsidRDefault="00094AF4" w:rsidP="00094AF4">
                  <w:pPr>
                    <w:pStyle w:val="Prrafodelista"/>
                    <w:numPr>
                      <w:ilvl w:val="0"/>
                      <w:numId w:val="3"/>
                    </w:numPr>
                    <w:jc w:val="both"/>
                    <w:rPr>
                      <w:rFonts w:cstheme="minorHAnsi"/>
                    </w:rPr>
                  </w:pPr>
                  <w:r w:rsidRPr="00357102">
                    <w:rPr>
                      <w:rFonts w:cstheme="minorHAnsi"/>
                    </w:rPr>
                    <w:t xml:space="preserve">Más de </w:t>
                  </w:r>
                  <w:r>
                    <w:rPr>
                      <w:rFonts w:cstheme="minorHAnsi"/>
                    </w:rPr>
                    <w:t>5 años: 7.5</w:t>
                  </w:r>
                  <w:r w:rsidRPr="00357102">
                    <w:rPr>
                      <w:rFonts w:cstheme="minorHAnsi"/>
                    </w:rPr>
                    <w:t xml:space="preserve"> puntos</w:t>
                  </w:r>
                </w:p>
              </w:tc>
              <w:tc>
                <w:tcPr>
                  <w:tcW w:w="2075" w:type="dxa"/>
                </w:tcPr>
                <w:p w14:paraId="038DD4F8" w14:textId="77777777" w:rsidR="00094AF4" w:rsidRPr="00357102" w:rsidRDefault="00094AF4" w:rsidP="00094AF4">
                  <w:pPr>
                    <w:jc w:val="center"/>
                    <w:rPr>
                      <w:lang w:val="es-ES_tradnl"/>
                    </w:rPr>
                  </w:pPr>
                  <w:r>
                    <w:rPr>
                      <w:lang w:val="es-ES_tradnl"/>
                    </w:rPr>
                    <w:t>7.5</w:t>
                  </w:r>
                  <w:r w:rsidRPr="00357102">
                    <w:rPr>
                      <w:lang w:val="es-ES_tradnl"/>
                    </w:rPr>
                    <w:t xml:space="preserve"> puntos</w:t>
                  </w:r>
                </w:p>
              </w:tc>
            </w:tr>
            <w:tr w:rsidR="00094AF4" w:rsidRPr="00357102" w14:paraId="285A629D" w14:textId="77777777" w:rsidTr="00094AF4">
              <w:tc>
                <w:tcPr>
                  <w:tcW w:w="6941" w:type="dxa"/>
                </w:tcPr>
                <w:p w14:paraId="0EE7AFF9" w14:textId="77777777" w:rsidR="00094AF4" w:rsidRDefault="00094AF4" w:rsidP="00094AF4">
                  <w:pPr>
                    <w:jc w:val="both"/>
                    <w:rPr>
                      <w:rFonts w:cs="Calibri"/>
                    </w:rPr>
                  </w:pPr>
                  <w:r w:rsidRPr="009C6C13">
                    <w:rPr>
                      <w:rFonts w:cs="Calibri"/>
                    </w:rPr>
                    <w:t xml:space="preserve">Experiencia acreditada de al menos 5 años en la elaboración de estudios similares con grupos en condición de vulnerabilidad. </w:t>
                  </w:r>
                </w:p>
                <w:p w14:paraId="69569EB9" w14:textId="77777777" w:rsidR="00094AF4" w:rsidRPr="009C6C13" w:rsidRDefault="00094AF4" w:rsidP="00B30782">
                  <w:pPr>
                    <w:pStyle w:val="Prrafodelista"/>
                    <w:numPr>
                      <w:ilvl w:val="0"/>
                      <w:numId w:val="9"/>
                    </w:numPr>
                    <w:jc w:val="both"/>
                    <w:rPr>
                      <w:rFonts w:cstheme="minorHAnsi"/>
                    </w:rPr>
                  </w:pPr>
                  <w:r w:rsidRPr="009C6C13">
                    <w:rPr>
                      <w:rFonts w:cstheme="minorHAnsi"/>
                    </w:rPr>
                    <w:t>Menos de 5 años: 0 puntos</w:t>
                  </w:r>
                </w:p>
                <w:p w14:paraId="3B14130C" w14:textId="77777777" w:rsidR="00094AF4" w:rsidRPr="00357102" w:rsidRDefault="00094AF4" w:rsidP="00B30782">
                  <w:pPr>
                    <w:pStyle w:val="Prrafodelista"/>
                    <w:numPr>
                      <w:ilvl w:val="0"/>
                      <w:numId w:val="6"/>
                    </w:numPr>
                    <w:jc w:val="both"/>
                    <w:rPr>
                      <w:rFonts w:cstheme="minorHAnsi"/>
                    </w:rPr>
                  </w:pPr>
                  <w:r>
                    <w:rPr>
                      <w:rFonts w:cstheme="minorHAnsi"/>
                    </w:rPr>
                    <w:t>5 años: 5.25</w:t>
                  </w:r>
                  <w:r w:rsidRPr="00357102">
                    <w:rPr>
                      <w:rFonts w:cstheme="minorHAnsi"/>
                    </w:rPr>
                    <w:t xml:space="preserve"> puntos</w:t>
                  </w:r>
                </w:p>
                <w:p w14:paraId="7CC67B5A" w14:textId="133B12BC" w:rsidR="00094AF4" w:rsidRPr="00403D7F" w:rsidRDefault="00094AF4" w:rsidP="00094AF4">
                  <w:pPr>
                    <w:pStyle w:val="Prrafodelista"/>
                    <w:numPr>
                      <w:ilvl w:val="0"/>
                      <w:numId w:val="6"/>
                    </w:numPr>
                    <w:jc w:val="both"/>
                    <w:rPr>
                      <w:rFonts w:cstheme="minorHAnsi"/>
                    </w:rPr>
                  </w:pPr>
                  <w:r w:rsidRPr="00357102">
                    <w:rPr>
                      <w:rFonts w:cstheme="minorHAnsi"/>
                    </w:rPr>
                    <w:t xml:space="preserve">Más de </w:t>
                  </w:r>
                  <w:r>
                    <w:rPr>
                      <w:rFonts w:cstheme="minorHAnsi"/>
                    </w:rPr>
                    <w:t>5 años: 7.5</w:t>
                  </w:r>
                  <w:r w:rsidRPr="00357102">
                    <w:rPr>
                      <w:rFonts w:cstheme="minorHAnsi"/>
                    </w:rPr>
                    <w:t xml:space="preserve"> puntos</w:t>
                  </w:r>
                </w:p>
              </w:tc>
              <w:tc>
                <w:tcPr>
                  <w:tcW w:w="2075" w:type="dxa"/>
                </w:tcPr>
                <w:p w14:paraId="65772F31" w14:textId="77777777" w:rsidR="00094AF4" w:rsidRPr="00357102" w:rsidRDefault="00094AF4" w:rsidP="00094AF4">
                  <w:pPr>
                    <w:jc w:val="center"/>
                    <w:rPr>
                      <w:lang w:val="es-ES_tradnl"/>
                    </w:rPr>
                  </w:pPr>
                  <w:r>
                    <w:rPr>
                      <w:lang w:val="es-ES_tradnl"/>
                    </w:rPr>
                    <w:t>7.5 puntos</w:t>
                  </w:r>
                </w:p>
              </w:tc>
            </w:tr>
            <w:tr w:rsidR="00094AF4" w:rsidRPr="00357102" w14:paraId="1E093A0C" w14:textId="77777777" w:rsidTr="00094AF4">
              <w:tc>
                <w:tcPr>
                  <w:tcW w:w="6941" w:type="dxa"/>
                </w:tcPr>
                <w:p w14:paraId="2E85E585" w14:textId="77777777" w:rsidR="00094AF4" w:rsidRDefault="00094AF4" w:rsidP="00094AF4">
                  <w:pPr>
                    <w:jc w:val="both"/>
                    <w:rPr>
                      <w:rFonts w:cs="Calibri"/>
                    </w:rPr>
                  </w:pPr>
                  <w:r w:rsidRPr="009C6C13">
                    <w:rPr>
                      <w:rFonts w:cs="Calibri"/>
                    </w:rPr>
                    <w:t xml:space="preserve">Experiencia acreditada de al menos 5 años en la realización de investigaciones sociales, y preferentemente con organismos públicos de derechos humanos. </w:t>
                  </w:r>
                </w:p>
                <w:p w14:paraId="61C2F9E7" w14:textId="77777777" w:rsidR="00094AF4" w:rsidRPr="009C6C13" w:rsidRDefault="00094AF4" w:rsidP="00B30782">
                  <w:pPr>
                    <w:pStyle w:val="Prrafodelista"/>
                    <w:numPr>
                      <w:ilvl w:val="0"/>
                      <w:numId w:val="10"/>
                    </w:numPr>
                    <w:jc w:val="both"/>
                    <w:rPr>
                      <w:rFonts w:cstheme="minorHAnsi"/>
                    </w:rPr>
                  </w:pPr>
                  <w:r w:rsidRPr="009C6C13">
                    <w:rPr>
                      <w:rFonts w:cstheme="minorHAnsi"/>
                    </w:rPr>
                    <w:t>Menos de 5 años: 0 puntos</w:t>
                  </w:r>
                </w:p>
                <w:p w14:paraId="0FFA03EA" w14:textId="77777777" w:rsidR="00094AF4" w:rsidRPr="00357102" w:rsidRDefault="00094AF4" w:rsidP="00B30782">
                  <w:pPr>
                    <w:pStyle w:val="Prrafodelista"/>
                    <w:numPr>
                      <w:ilvl w:val="0"/>
                      <w:numId w:val="6"/>
                    </w:numPr>
                    <w:jc w:val="both"/>
                    <w:rPr>
                      <w:rFonts w:cstheme="minorHAnsi"/>
                    </w:rPr>
                  </w:pPr>
                  <w:r>
                    <w:rPr>
                      <w:rFonts w:cstheme="minorHAnsi"/>
                    </w:rPr>
                    <w:t>5 años: 5.25</w:t>
                  </w:r>
                  <w:r w:rsidRPr="00357102">
                    <w:rPr>
                      <w:rFonts w:cstheme="minorHAnsi"/>
                    </w:rPr>
                    <w:t xml:space="preserve"> puntos</w:t>
                  </w:r>
                </w:p>
                <w:p w14:paraId="0574D831" w14:textId="77777777" w:rsidR="00094AF4" w:rsidRPr="001A74A6" w:rsidRDefault="00094AF4" w:rsidP="00B30782">
                  <w:pPr>
                    <w:pStyle w:val="Prrafodelista"/>
                    <w:numPr>
                      <w:ilvl w:val="0"/>
                      <w:numId w:val="6"/>
                    </w:numPr>
                    <w:jc w:val="both"/>
                    <w:rPr>
                      <w:rFonts w:cstheme="minorHAnsi"/>
                    </w:rPr>
                  </w:pPr>
                  <w:r w:rsidRPr="00357102">
                    <w:rPr>
                      <w:rFonts w:cstheme="minorHAnsi"/>
                    </w:rPr>
                    <w:t xml:space="preserve">Más de </w:t>
                  </w:r>
                  <w:r>
                    <w:rPr>
                      <w:rFonts w:cstheme="minorHAnsi"/>
                    </w:rPr>
                    <w:t>5 años: 7.5</w:t>
                  </w:r>
                  <w:r w:rsidRPr="00357102">
                    <w:rPr>
                      <w:rFonts w:cstheme="minorHAnsi"/>
                    </w:rPr>
                    <w:t xml:space="preserve"> puntos</w:t>
                  </w:r>
                </w:p>
              </w:tc>
              <w:tc>
                <w:tcPr>
                  <w:tcW w:w="2075" w:type="dxa"/>
                </w:tcPr>
                <w:p w14:paraId="6E967B68" w14:textId="77777777" w:rsidR="00094AF4" w:rsidRDefault="00094AF4" w:rsidP="00094AF4">
                  <w:pPr>
                    <w:jc w:val="center"/>
                    <w:rPr>
                      <w:lang w:val="es-ES_tradnl"/>
                    </w:rPr>
                  </w:pPr>
                  <w:r>
                    <w:rPr>
                      <w:lang w:val="es-ES_tradnl"/>
                    </w:rPr>
                    <w:t>7.5 puntos</w:t>
                  </w:r>
                </w:p>
              </w:tc>
            </w:tr>
            <w:tr w:rsidR="00094AF4" w:rsidRPr="00357102" w14:paraId="3320BB76" w14:textId="77777777" w:rsidTr="00094AF4">
              <w:tc>
                <w:tcPr>
                  <w:tcW w:w="6941" w:type="dxa"/>
                </w:tcPr>
                <w:p w14:paraId="63049C2C" w14:textId="77777777" w:rsidR="00094AF4" w:rsidRDefault="00094AF4" w:rsidP="00094AF4">
                  <w:pPr>
                    <w:jc w:val="both"/>
                    <w:rPr>
                      <w:rFonts w:cs="Calibri"/>
                    </w:rPr>
                  </w:pPr>
                  <w:r w:rsidRPr="009C6C13">
                    <w:rPr>
                      <w:rFonts w:cs="Calibri"/>
                    </w:rPr>
                    <w:t xml:space="preserve">Experiencia acreditada de al menos 5 años en la utilización y aplicación del enfoque de derechos humanos, género y diversidad. </w:t>
                  </w:r>
                </w:p>
                <w:p w14:paraId="42E83E91" w14:textId="77777777" w:rsidR="00094AF4" w:rsidRPr="009C6C13" w:rsidRDefault="00094AF4" w:rsidP="00B30782">
                  <w:pPr>
                    <w:pStyle w:val="Prrafodelista"/>
                    <w:numPr>
                      <w:ilvl w:val="0"/>
                      <w:numId w:val="11"/>
                    </w:numPr>
                    <w:jc w:val="both"/>
                    <w:rPr>
                      <w:rFonts w:cstheme="minorHAnsi"/>
                    </w:rPr>
                  </w:pPr>
                  <w:r w:rsidRPr="009C6C13">
                    <w:rPr>
                      <w:rFonts w:cstheme="minorHAnsi"/>
                    </w:rPr>
                    <w:t xml:space="preserve">Menos de </w:t>
                  </w:r>
                  <w:r>
                    <w:rPr>
                      <w:rFonts w:cstheme="minorHAnsi"/>
                    </w:rPr>
                    <w:t>5</w:t>
                  </w:r>
                  <w:r w:rsidRPr="009C6C13">
                    <w:rPr>
                      <w:rFonts w:cstheme="minorHAnsi"/>
                    </w:rPr>
                    <w:t xml:space="preserve"> años: 0 puntos</w:t>
                  </w:r>
                </w:p>
                <w:p w14:paraId="62B520CF" w14:textId="77777777" w:rsidR="00094AF4" w:rsidRDefault="00094AF4" w:rsidP="00B30782">
                  <w:pPr>
                    <w:pStyle w:val="Prrafodelista"/>
                    <w:numPr>
                      <w:ilvl w:val="0"/>
                      <w:numId w:val="6"/>
                    </w:numPr>
                    <w:jc w:val="both"/>
                    <w:rPr>
                      <w:rFonts w:cstheme="minorHAnsi"/>
                    </w:rPr>
                  </w:pPr>
                  <w:r>
                    <w:rPr>
                      <w:rFonts w:cstheme="minorHAnsi"/>
                    </w:rPr>
                    <w:t>5 años: 5.25</w:t>
                  </w:r>
                  <w:r w:rsidRPr="00357102">
                    <w:rPr>
                      <w:rFonts w:cstheme="minorHAnsi"/>
                    </w:rPr>
                    <w:t xml:space="preserve"> puntos</w:t>
                  </w:r>
                </w:p>
                <w:p w14:paraId="16309155" w14:textId="40EDA2AA" w:rsidR="00094AF4" w:rsidRPr="00403D7F" w:rsidRDefault="00094AF4" w:rsidP="00094AF4">
                  <w:pPr>
                    <w:pStyle w:val="Prrafodelista"/>
                    <w:numPr>
                      <w:ilvl w:val="0"/>
                      <w:numId w:val="6"/>
                    </w:numPr>
                    <w:jc w:val="both"/>
                    <w:rPr>
                      <w:rFonts w:cstheme="minorHAnsi"/>
                    </w:rPr>
                  </w:pPr>
                  <w:r w:rsidRPr="00D101BF">
                    <w:rPr>
                      <w:rFonts w:cstheme="minorHAnsi"/>
                    </w:rPr>
                    <w:t xml:space="preserve">Más de </w:t>
                  </w:r>
                  <w:r>
                    <w:rPr>
                      <w:rFonts w:cstheme="minorHAnsi"/>
                    </w:rPr>
                    <w:t>5</w:t>
                  </w:r>
                  <w:r w:rsidRPr="00D101BF">
                    <w:rPr>
                      <w:rFonts w:cstheme="minorHAnsi"/>
                    </w:rPr>
                    <w:t xml:space="preserve"> a</w:t>
                  </w:r>
                  <w:r>
                    <w:rPr>
                      <w:rFonts w:cstheme="minorHAnsi"/>
                    </w:rPr>
                    <w:t>ños: 7.5</w:t>
                  </w:r>
                  <w:r w:rsidRPr="00D101BF">
                    <w:rPr>
                      <w:rFonts w:cstheme="minorHAnsi"/>
                    </w:rPr>
                    <w:t xml:space="preserve"> puntos</w:t>
                  </w:r>
                  <w:r w:rsidRPr="00D101BF">
                    <w:rPr>
                      <w:rFonts w:cs="Calibri"/>
                    </w:rPr>
                    <w:t xml:space="preserve"> </w:t>
                  </w:r>
                </w:p>
              </w:tc>
              <w:tc>
                <w:tcPr>
                  <w:tcW w:w="2075" w:type="dxa"/>
                </w:tcPr>
                <w:p w14:paraId="60443136" w14:textId="77777777" w:rsidR="00094AF4" w:rsidRDefault="00094AF4" w:rsidP="00094AF4">
                  <w:pPr>
                    <w:jc w:val="center"/>
                    <w:rPr>
                      <w:lang w:val="es-ES_tradnl"/>
                    </w:rPr>
                  </w:pPr>
                  <w:r>
                    <w:rPr>
                      <w:lang w:val="es-ES_tradnl"/>
                    </w:rPr>
                    <w:t>7.5 puntos</w:t>
                  </w:r>
                </w:p>
              </w:tc>
            </w:tr>
            <w:tr w:rsidR="00094AF4" w:rsidRPr="00357102" w14:paraId="76D0BDD3" w14:textId="77777777" w:rsidTr="00094AF4">
              <w:tc>
                <w:tcPr>
                  <w:tcW w:w="6941" w:type="dxa"/>
                </w:tcPr>
                <w:p w14:paraId="09C4655A" w14:textId="77777777" w:rsidR="00094AF4" w:rsidRDefault="00094AF4" w:rsidP="00094AF4">
                  <w:pPr>
                    <w:jc w:val="both"/>
                    <w:rPr>
                      <w:rFonts w:cstheme="minorHAnsi"/>
                    </w:rPr>
                  </w:pPr>
                  <w:r>
                    <w:rPr>
                      <w:rFonts w:cstheme="minorHAnsi"/>
                    </w:rPr>
                    <w:t>La persona consultora</w:t>
                  </w:r>
                  <w:r w:rsidRPr="00283F27">
                    <w:rPr>
                      <w:rFonts w:cstheme="minorHAnsi"/>
                    </w:rPr>
                    <w:t xml:space="preserve"> deberá presentar la </w:t>
                  </w:r>
                  <w:r w:rsidRPr="00DD3FE9">
                    <w:rPr>
                      <w:rFonts w:cstheme="minorHAnsi"/>
                      <w:u w:val="single"/>
                    </w:rPr>
                    <w:t>propuesta metodológica</w:t>
                  </w:r>
                  <w:r>
                    <w:rPr>
                      <w:rFonts w:cstheme="minorHAnsi"/>
                    </w:rPr>
                    <w:t xml:space="preserve"> (Anexo 1)</w:t>
                  </w:r>
                  <w:r w:rsidRPr="00283F27">
                    <w:rPr>
                      <w:rFonts w:cstheme="minorHAnsi"/>
                    </w:rPr>
                    <w:t xml:space="preserve"> que utilizará para la realización de la “Consultoría”, de conformidad a la naturaleza del proyecto.</w:t>
                  </w:r>
                </w:p>
                <w:p w14:paraId="4E70EC1C" w14:textId="77777777" w:rsidR="00094AF4" w:rsidRPr="00283F27" w:rsidRDefault="00094AF4" w:rsidP="00094AF4">
                  <w:pPr>
                    <w:jc w:val="both"/>
                    <w:rPr>
                      <w:rFonts w:cstheme="minorHAnsi"/>
                    </w:rPr>
                  </w:pPr>
                </w:p>
                <w:p w14:paraId="5D1ED3C6" w14:textId="77777777" w:rsidR="00094AF4" w:rsidRPr="00487D05" w:rsidRDefault="00094AF4" w:rsidP="00B30782">
                  <w:pPr>
                    <w:pStyle w:val="Prrafodelista"/>
                    <w:numPr>
                      <w:ilvl w:val="0"/>
                      <w:numId w:val="6"/>
                    </w:numPr>
                    <w:jc w:val="both"/>
                    <w:rPr>
                      <w:rFonts w:cstheme="minorHAnsi"/>
                    </w:rPr>
                  </w:pPr>
                  <w:r w:rsidRPr="00487D05">
                    <w:rPr>
                      <w:rFonts w:cstheme="minorHAnsi"/>
                    </w:rPr>
                    <w:t>La propuesta metodológica muestra una débil comprensión del objeto a evaluar; no responde al alcance de la evaluación y los métodos propuestos no se consideran apropiados. El puntaje será 0 puntos.</w:t>
                  </w:r>
                </w:p>
                <w:p w14:paraId="02AF3876" w14:textId="77777777" w:rsidR="00094AF4" w:rsidRPr="00142969" w:rsidRDefault="00094AF4" w:rsidP="00094AF4">
                  <w:pPr>
                    <w:jc w:val="both"/>
                    <w:rPr>
                      <w:rFonts w:cstheme="minorHAnsi"/>
                    </w:rPr>
                  </w:pPr>
                </w:p>
                <w:p w14:paraId="1715BF11" w14:textId="77777777" w:rsidR="00094AF4" w:rsidRPr="00487D05" w:rsidRDefault="00094AF4" w:rsidP="00B30782">
                  <w:pPr>
                    <w:pStyle w:val="Prrafodelista"/>
                    <w:numPr>
                      <w:ilvl w:val="0"/>
                      <w:numId w:val="6"/>
                    </w:numPr>
                    <w:jc w:val="both"/>
                    <w:rPr>
                      <w:rFonts w:cstheme="minorHAnsi"/>
                    </w:rPr>
                  </w:pPr>
                  <w:r w:rsidRPr="00487D05">
                    <w:rPr>
                      <w:rFonts w:cstheme="minorHAnsi"/>
                    </w:rPr>
                    <w:t xml:space="preserve">La propuesta metodológica demuestra de forma aceptable la comprensión del objeto y el propósito de la consultoría. El enfoque, alcance, criterios de la evaluación y métodos propuestos cumplen con los </w:t>
                  </w:r>
                  <w:proofErr w:type="spellStart"/>
                  <w:r w:rsidRPr="00487D05">
                    <w:rPr>
                      <w:rFonts w:cstheme="minorHAnsi"/>
                    </w:rPr>
                    <w:t>TDRs</w:t>
                  </w:r>
                  <w:proofErr w:type="spellEnd"/>
                  <w:r w:rsidRPr="00487D05">
                    <w:rPr>
                      <w:rFonts w:cstheme="minorHAnsi"/>
                    </w:rPr>
                    <w:t>. El puntaje será 21 puntos.</w:t>
                  </w:r>
                </w:p>
                <w:p w14:paraId="384FAB7F" w14:textId="77777777" w:rsidR="00094AF4" w:rsidRPr="00142969" w:rsidRDefault="00094AF4" w:rsidP="00094AF4">
                  <w:pPr>
                    <w:jc w:val="both"/>
                    <w:rPr>
                      <w:rFonts w:cstheme="minorHAnsi"/>
                    </w:rPr>
                  </w:pPr>
                </w:p>
                <w:p w14:paraId="6372FA15" w14:textId="77777777" w:rsidR="00094AF4" w:rsidRPr="00487D05" w:rsidRDefault="00094AF4" w:rsidP="00B30782">
                  <w:pPr>
                    <w:pStyle w:val="Prrafodelista"/>
                    <w:numPr>
                      <w:ilvl w:val="0"/>
                      <w:numId w:val="6"/>
                    </w:numPr>
                    <w:jc w:val="both"/>
                    <w:rPr>
                      <w:rFonts w:cstheme="minorHAnsi"/>
                    </w:rPr>
                  </w:pPr>
                  <w:r w:rsidRPr="00487D05">
                    <w:rPr>
                      <w:rFonts w:cstheme="minorHAnsi"/>
                    </w:rPr>
                    <w:t xml:space="preserve">La propuesta demuestra una clara comprensión del objeto a evaluar y el propósito de la consultoría. El alcance y criterios, así como el enfoque y métodos propuestos cumplen con los propósitos de ésta y permiten una participación adecuada de los principales actores, presentando valor agregado. El puntaje será 30 puntos. </w:t>
                  </w:r>
                </w:p>
                <w:p w14:paraId="4CF0D464" w14:textId="77777777" w:rsidR="00094AF4" w:rsidRPr="00357102" w:rsidRDefault="00094AF4" w:rsidP="00094AF4">
                  <w:pPr>
                    <w:jc w:val="both"/>
                    <w:rPr>
                      <w:rFonts w:cstheme="minorHAnsi"/>
                    </w:rPr>
                  </w:pPr>
                </w:p>
              </w:tc>
              <w:tc>
                <w:tcPr>
                  <w:tcW w:w="2075" w:type="dxa"/>
                </w:tcPr>
                <w:p w14:paraId="4E10D539" w14:textId="77777777" w:rsidR="00094AF4" w:rsidRPr="00357102" w:rsidRDefault="00094AF4" w:rsidP="00094AF4">
                  <w:pPr>
                    <w:jc w:val="center"/>
                    <w:rPr>
                      <w:lang w:val="es-ES_tradnl"/>
                    </w:rPr>
                  </w:pPr>
                  <w:r>
                    <w:rPr>
                      <w:lang w:val="es-ES_tradnl"/>
                    </w:rPr>
                    <w:t xml:space="preserve">30 puntos </w:t>
                  </w:r>
                </w:p>
              </w:tc>
            </w:tr>
            <w:tr w:rsidR="00094AF4" w:rsidRPr="00357102" w14:paraId="51491252" w14:textId="77777777" w:rsidTr="00094AF4">
              <w:tc>
                <w:tcPr>
                  <w:tcW w:w="6941" w:type="dxa"/>
                </w:tcPr>
                <w:p w14:paraId="410F4ADA" w14:textId="77777777" w:rsidR="00094AF4" w:rsidRPr="00357102" w:rsidRDefault="00094AF4" w:rsidP="00094AF4">
                  <w:pPr>
                    <w:jc w:val="both"/>
                    <w:rPr>
                      <w:rFonts w:cstheme="minorHAnsi"/>
                    </w:rPr>
                  </w:pPr>
                  <w:r w:rsidRPr="00357102">
                    <w:rPr>
                      <w:rFonts w:cstheme="minorHAnsi"/>
                    </w:rPr>
                    <w:t>Carta oferente o propuesta económica</w:t>
                  </w:r>
                </w:p>
              </w:tc>
              <w:tc>
                <w:tcPr>
                  <w:tcW w:w="2075" w:type="dxa"/>
                </w:tcPr>
                <w:p w14:paraId="02B76923" w14:textId="77777777" w:rsidR="00094AF4" w:rsidRPr="00357102" w:rsidRDefault="00094AF4" w:rsidP="00094AF4">
                  <w:pPr>
                    <w:jc w:val="center"/>
                  </w:pPr>
                  <w:r>
                    <w:t>3</w:t>
                  </w:r>
                  <w:r w:rsidRPr="00357102">
                    <w:t>0 puntos</w:t>
                  </w:r>
                </w:p>
              </w:tc>
            </w:tr>
            <w:tr w:rsidR="00094AF4" w:rsidRPr="00357102" w14:paraId="1D2E12C0" w14:textId="77777777" w:rsidTr="00094AF4">
              <w:tc>
                <w:tcPr>
                  <w:tcW w:w="6941" w:type="dxa"/>
                </w:tcPr>
                <w:p w14:paraId="7B50ACE1" w14:textId="77777777" w:rsidR="00094AF4" w:rsidRPr="00357102" w:rsidRDefault="00094AF4" w:rsidP="00094AF4">
                  <w:pPr>
                    <w:jc w:val="right"/>
                    <w:rPr>
                      <w:rFonts w:cstheme="minorHAnsi"/>
                      <w:b/>
                    </w:rPr>
                  </w:pPr>
                  <w:r w:rsidRPr="00357102">
                    <w:rPr>
                      <w:rFonts w:cstheme="minorHAnsi"/>
                      <w:b/>
                    </w:rPr>
                    <w:t>Total</w:t>
                  </w:r>
                </w:p>
              </w:tc>
              <w:tc>
                <w:tcPr>
                  <w:tcW w:w="2075" w:type="dxa"/>
                </w:tcPr>
                <w:p w14:paraId="61052374" w14:textId="77777777" w:rsidR="00094AF4" w:rsidRPr="00357102" w:rsidRDefault="00094AF4" w:rsidP="00B30782">
                  <w:pPr>
                    <w:pStyle w:val="Prrafodelista"/>
                    <w:numPr>
                      <w:ilvl w:val="0"/>
                      <w:numId w:val="4"/>
                    </w:numPr>
                    <w:rPr>
                      <w:b/>
                    </w:rPr>
                  </w:pPr>
                  <w:r w:rsidRPr="00357102">
                    <w:rPr>
                      <w:b/>
                    </w:rPr>
                    <w:t>puntos</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77777777" w:rsidR="0065710B" w:rsidRDefault="0065710B" w:rsidP="00A24134">
      <w:pPr>
        <w:rPr>
          <w:b/>
        </w:rPr>
      </w:pPr>
    </w:p>
    <w:p w14:paraId="65AA9D53" w14:textId="77777777" w:rsidR="002223E0" w:rsidRDefault="006C491D" w:rsidP="00A24134">
      <w:pPr>
        <w:rPr>
          <w:b/>
        </w:rPr>
      </w:pPr>
      <w:r>
        <w:rPr>
          <w:b/>
        </w:rPr>
        <w:lastRenderedPageBreak/>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lastRenderedPageBreak/>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0C79A773"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3535" w14:textId="77777777" w:rsidR="00403D7F" w:rsidRDefault="00403D7F" w:rsidP="00A24134">
      <w:pPr>
        <w:spacing w:after="0" w:line="240" w:lineRule="auto"/>
      </w:pPr>
      <w:r>
        <w:separator/>
      </w:r>
    </w:p>
  </w:endnote>
  <w:endnote w:type="continuationSeparator" w:id="0">
    <w:p w14:paraId="190C4E27" w14:textId="77777777" w:rsidR="00403D7F" w:rsidRDefault="00403D7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9034" w14:textId="77777777" w:rsidR="00403D7F" w:rsidRDefault="00403D7F" w:rsidP="00A24134">
      <w:pPr>
        <w:spacing w:after="0" w:line="240" w:lineRule="auto"/>
      </w:pPr>
      <w:r>
        <w:separator/>
      </w:r>
    </w:p>
  </w:footnote>
  <w:footnote w:type="continuationSeparator" w:id="0">
    <w:p w14:paraId="44B26B0D" w14:textId="77777777" w:rsidR="00403D7F" w:rsidRDefault="00403D7F" w:rsidP="00A24134">
      <w:pPr>
        <w:spacing w:after="0" w:line="240" w:lineRule="auto"/>
      </w:pPr>
      <w:r>
        <w:continuationSeparator/>
      </w:r>
    </w:p>
  </w:footnote>
  <w:footnote w:id="1">
    <w:p w14:paraId="3EE1156E" w14:textId="77777777" w:rsidR="00403D7F" w:rsidRPr="00097A40" w:rsidRDefault="00403D7F" w:rsidP="006E7431">
      <w:pPr>
        <w:pStyle w:val="Textonotapie"/>
        <w:jc w:val="both"/>
        <w:rPr>
          <w:sz w:val="18"/>
          <w:szCs w:val="18"/>
          <w:lang w:val="es-ES_tradnl"/>
        </w:rPr>
      </w:pPr>
      <w:r w:rsidRPr="003027AE">
        <w:rPr>
          <w:rStyle w:val="Refdenotaalpie"/>
          <w:sz w:val="18"/>
          <w:szCs w:val="18"/>
          <w:lang w:val="es-ES_tradnl"/>
        </w:rPr>
        <w:footnoteRef/>
      </w:r>
      <w:r w:rsidRPr="00097A40">
        <w:rPr>
          <w:sz w:val="18"/>
          <w:szCs w:val="18"/>
          <w:lang w:val="es-ES_tradnl"/>
        </w:rPr>
        <w:t xml:space="preserve"> Si bien no existe una definición que se considere </w:t>
      </w:r>
      <w:r w:rsidRPr="00BC27D1">
        <w:rPr>
          <w:sz w:val="18"/>
          <w:szCs w:val="18"/>
          <w:lang w:val="es-ES_tradnl"/>
        </w:rPr>
        <w:t>oficial</w:t>
      </w:r>
      <w:r w:rsidRPr="00097A40">
        <w:rPr>
          <w:sz w:val="18"/>
          <w:szCs w:val="18"/>
          <w:lang w:val="es-ES_tradnl"/>
        </w:rPr>
        <w:t xml:space="preserve"> sobre los crímenes de odio, en el contexto de las Naciones Unidas, </w:t>
      </w:r>
      <w:r w:rsidRPr="00BC27D1">
        <w:rPr>
          <w:sz w:val="18"/>
          <w:szCs w:val="18"/>
          <w:lang w:val="es-ES_tradnl"/>
        </w:rPr>
        <w:t>comúnmente</w:t>
      </w:r>
      <w:r w:rsidRPr="00097A40">
        <w:rPr>
          <w:sz w:val="18"/>
          <w:szCs w:val="18"/>
          <w:lang w:val="es-ES_tradnl"/>
        </w:rPr>
        <w:t xml:space="preserve"> se acepta que tales crímenes son hechos delictivos cometidos por sesgo o prejuicio hacia grupos específicos de personas, de manera que hay dos elementos que deben coincidir para que un </w:t>
      </w:r>
      <w:r w:rsidRPr="00BC27D1">
        <w:rPr>
          <w:sz w:val="18"/>
          <w:szCs w:val="18"/>
          <w:lang w:val="es-ES_tradnl"/>
        </w:rPr>
        <w:t>crimen</w:t>
      </w:r>
      <w:r w:rsidRPr="00097A40">
        <w:rPr>
          <w:sz w:val="18"/>
          <w:szCs w:val="18"/>
          <w:lang w:val="es-ES_tradnl"/>
        </w:rPr>
        <w:t xml:space="preserve"> se considere como “crimen de odio”: ser un delito, de conformidad con la ley, y que su motivación descanse en sesgo o prejuicio. </w:t>
      </w:r>
      <w:r w:rsidRPr="00BC27D1">
        <w:rPr>
          <w:sz w:val="18"/>
          <w:szCs w:val="18"/>
          <w:lang w:val="es-ES_tradnl"/>
        </w:rPr>
        <w:t>En</w:t>
      </w:r>
      <w:r w:rsidRPr="00097A40">
        <w:rPr>
          <w:sz w:val="18"/>
          <w:szCs w:val="18"/>
          <w:lang w:val="es-ES_tradnl"/>
        </w:rPr>
        <w:t xml:space="preserve"> tal sentido, los crímenes de odio no se reducen a la población LGBTIQ</w:t>
      </w:r>
      <w:r w:rsidRPr="0009599E">
        <w:rPr>
          <w:lang w:val="es-419"/>
        </w:rPr>
        <w:t xml:space="preserve"> +</w:t>
      </w:r>
      <w:r w:rsidRPr="00097A40">
        <w:rPr>
          <w:sz w:val="18"/>
          <w:szCs w:val="18"/>
          <w:lang w:val="es-ES_tradnl"/>
        </w:rPr>
        <w:t xml:space="preserve">. La OPES reconoce esa amplitud, aunque focalizará el esfuerzo en lo que </w:t>
      </w:r>
      <w:r w:rsidRPr="00BC27D1">
        <w:rPr>
          <w:sz w:val="18"/>
          <w:szCs w:val="18"/>
          <w:lang w:val="es-ES_tradnl"/>
        </w:rPr>
        <w:t>atañe</w:t>
      </w:r>
      <w:r w:rsidRPr="00097A40">
        <w:rPr>
          <w:sz w:val="18"/>
          <w:szCs w:val="18"/>
          <w:lang w:val="es-ES_tradnl"/>
        </w:rPr>
        <w:t xml:space="preserve"> a las personas LGBTIQ</w:t>
      </w:r>
      <w:r w:rsidRPr="0009599E">
        <w:rPr>
          <w:lang w:val="es-419"/>
        </w:rPr>
        <w:t xml:space="preserve"> +</w:t>
      </w:r>
      <w:r w:rsidRPr="00097A40">
        <w:rPr>
          <w:sz w:val="18"/>
          <w:szCs w:val="18"/>
          <w:lang w:val="es-ES_tradnl"/>
        </w:rPr>
        <w:t>.</w:t>
      </w:r>
    </w:p>
  </w:footnote>
  <w:footnote w:id="2">
    <w:p w14:paraId="5BFFF84C" w14:textId="77777777" w:rsidR="00403D7F" w:rsidRPr="00097A40" w:rsidRDefault="00403D7F" w:rsidP="006E7431">
      <w:pPr>
        <w:pStyle w:val="Textonotapie"/>
        <w:jc w:val="both"/>
        <w:rPr>
          <w:sz w:val="18"/>
          <w:szCs w:val="18"/>
          <w:lang w:val="es-ES_tradnl"/>
        </w:rPr>
      </w:pPr>
      <w:r w:rsidRPr="00097A40">
        <w:rPr>
          <w:rStyle w:val="Refdenotaalpie"/>
          <w:sz w:val="18"/>
          <w:szCs w:val="18"/>
          <w:lang w:val="es-ES_tradnl"/>
        </w:rPr>
        <w:footnoteRef/>
      </w:r>
      <w:r w:rsidRPr="00097A40">
        <w:rPr>
          <w:sz w:val="18"/>
          <w:szCs w:val="18"/>
          <w:lang w:val="es-ES_tradnl"/>
        </w:rPr>
        <w:t xml:space="preserve"> </w:t>
      </w:r>
      <w:r w:rsidRPr="00355AD5">
        <w:rPr>
          <w:i/>
          <w:iCs/>
          <w:sz w:val="18"/>
          <w:szCs w:val="18"/>
          <w:lang w:val="es-ES_tradnl"/>
        </w:rPr>
        <w:t>Ver</w:t>
      </w:r>
      <w:r w:rsidRPr="00355AD5">
        <w:rPr>
          <w:sz w:val="18"/>
          <w:szCs w:val="18"/>
          <w:lang w:val="es-ES_tradnl"/>
        </w:rPr>
        <w:t>: Observaciones sobre las conclusiones y/o recomendaciones, compromisos voluntarios y respuestas del Estado examinado (El Salvador), A/HRC/43/5/Add.1, del 19 de febrero de 2020, para. 4.</w:t>
      </w:r>
    </w:p>
  </w:footnote>
  <w:footnote w:id="3">
    <w:p w14:paraId="05E56590" w14:textId="77777777" w:rsidR="00403D7F" w:rsidRPr="00097A40" w:rsidRDefault="00403D7F" w:rsidP="006E7431">
      <w:pPr>
        <w:pStyle w:val="Textonotapie"/>
        <w:jc w:val="both"/>
        <w:rPr>
          <w:sz w:val="18"/>
          <w:szCs w:val="18"/>
          <w:lang w:val="es-ES_tradnl"/>
        </w:rPr>
      </w:pPr>
      <w:r w:rsidRPr="00097A40">
        <w:rPr>
          <w:rStyle w:val="Refdenotaalpie"/>
          <w:sz w:val="18"/>
          <w:szCs w:val="18"/>
          <w:lang w:val="es-ES_tradnl"/>
        </w:rPr>
        <w:footnoteRef/>
      </w:r>
      <w:r w:rsidRPr="00097A40">
        <w:rPr>
          <w:sz w:val="18"/>
          <w:szCs w:val="18"/>
          <w:lang w:val="es-ES_tradnl"/>
        </w:rPr>
        <w:t xml:space="preserve"> </w:t>
      </w:r>
      <w:r w:rsidRPr="00097A40">
        <w:rPr>
          <w:i/>
          <w:iCs/>
          <w:sz w:val="18"/>
          <w:szCs w:val="18"/>
          <w:lang w:val="es-ES_tradnl"/>
        </w:rPr>
        <w:t>Id.</w:t>
      </w:r>
      <w:r w:rsidRPr="00097A40">
        <w:rPr>
          <w:sz w:val="18"/>
          <w:szCs w:val="18"/>
          <w:lang w:val="es-ES_tradnl"/>
        </w:rPr>
        <w:t>, respecto de la observación 103.150</w:t>
      </w:r>
    </w:p>
  </w:footnote>
  <w:footnote w:id="4">
    <w:p w14:paraId="4C75F2A5" w14:textId="77777777" w:rsidR="00403D7F" w:rsidRPr="00097A40" w:rsidRDefault="00403D7F" w:rsidP="006E7431">
      <w:pPr>
        <w:pStyle w:val="Textonotapie"/>
        <w:jc w:val="both"/>
        <w:rPr>
          <w:lang w:val="es-419"/>
        </w:rPr>
      </w:pPr>
      <w:r w:rsidRPr="00097A40">
        <w:rPr>
          <w:rStyle w:val="Refdenotaalpie"/>
          <w:sz w:val="18"/>
          <w:szCs w:val="18"/>
          <w:lang w:val="es-ES_tradnl"/>
        </w:rPr>
        <w:footnoteRef/>
      </w:r>
      <w:r w:rsidRPr="00097A40">
        <w:rPr>
          <w:sz w:val="18"/>
          <w:szCs w:val="18"/>
          <w:lang w:val="es-ES_tradnl"/>
        </w:rPr>
        <w:t xml:space="preserve"> </w:t>
      </w:r>
      <w:r w:rsidRPr="00097A40">
        <w:rPr>
          <w:i/>
          <w:iCs/>
          <w:sz w:val="18"/>
          <w:szCs w:val="18"/>
          <w:lang w:val="es-ES_tradnl"/>
        </w:rPr>
        <w:t>Id.</w:t>
      </w:r>
      <w:r w:rsidRPr="00097A40">
        <w:rPr>
          <w:sz w:val="18"/>
          <w:szCs w:val="18"/>
          <w:lang w:val="es-ES_tradnl"/>
        </w:rPr>
        <w:t xml:space="preserve">, respecto de las observaciones 103.28, 103.29, </w:t>
      </w:r>
      <w:r>
        <w:rPr>
          <w:sz w:val="18"/>
          <w:szCs w:val="18"/>
          <w:lang w:val="es-ES_tradnl"/>
        </w:rPr>
        <w:t xml:space="preserve">y </w:t>
      </w:r>
      <w:r w:rsidRPr="00097A40">
        <w:rPr>
          <w:sz w:val="18"/>
          <w:szCs w:val="18"/>
          <w:lang w:val="es-ES_tradnl"/>
        </w:rPr>
        <w:t>103.45.</w:t>
      </w:r>
    </w:p>
  </w:footnote>
  <w:footnote w:id="5">
    <w:p w14:paraId="63EA79A8" w14:textId="77777777" w:rsidR="00403D7F" w:rsidRPr="00097A40" w:rsidRDefault="00403D7F" w:rsidP="006E7431">
      <w:pPr>
        <w:pStyle w:val="Textonotapie"/>
        <w:jc w:val="both"/>
        <w:rPr>
          <w:sz w:val="18"/>
          <w:szCs w:val="18"/>
          <w:lang w:val="es-ES_tradnl"/>
        </w:rPr>
      </w:pPr>
      <w:r w:rsidRPr="00097A40">
        <w:rPr>
          <w:rStyle w:val="Refdenotaalpie"/>
          <w:sz w:val="18"/>
          <w:szCs w:val="18"/>
          <w:lang w:val="es-ES_tradnl"/>
        </w:rPr>
        <w:footnoteRef/>
      </w:r>
      <w:r w:rsidRPr="00097A40">
        <w:rPr>
          <w:sz w:val="18"/>
          <w:szCs w:val="18"/>
          <w:lang w:val="es-ES_tradnl"/>
        </w:rPr>
        <w:t xml:space="preserve"> Procuraduría para la Defensa de los Derechos Humanos, </w:t>
      </w:r>
      <w:r w:rsidRPr="00097A40">
        <w:rPr>
          <w:i/>
          <w:iCs/>
          <w:sz w:val="18"/>
          <w:szCs w:val="18"/>
          <w:lang w:val="es-ES_tradnl"/>
        </w:rPr>
        <w:t>Primer Informe Situacional sobre Crímenes de Odio Cometidos en contra de la Población LGBT</w:t>
      </w:r>
      <w:r w:rsidRPr="0009599E">
        <w:rPr>
          <w:lang w:val="es-419"/>
        </w:rPr>
        <w:t xml:space="preserve"> </w:t>
      </w:r>
      <w:r w:rsidRPr="00097A40">
        <w:rPr>
          <w:i/>
          <w:iCs/>
          <w:sz w:val="18"/>
          <w:szCs w:val="18"/>
          <w:lang w:val="es-ES_tradnl"/>
        </w:rPr>
        <w:t>I</w:t>
      </w:r>
      <w:r w:rsidRPr="0009599E">
        <w:rPr>
          <w:lang w:val="es-419"/>
        </w:rPr>
        <w:t xml:space="preserve"> +</w:t>
      </w:r>
      <w:r w:rsidRPr="00097A40">
        <w:rPr>
          <w:sz w:val="18"/>
          <w:szCs w:val="18"/>
          <w:lang w:val="es-ES_tradnl"/>
        </w:rPr>
        <w:t xml:space="preserve">, del 2 de marzo de 2017, </w:t>
      </w:r>
      <w:proofErr w:type="spellStart"/>
      <w:r w:rsidRPr="00097A40">
        <w:rPr>
          <w:sz w:val="18"/>
          <w:szCs w:val="18"/>
          <w:lang w:val="es-ES_tradnl"/>
        </w:rPr>
        <w:t>pgs</w:t>
      </w:r>
      <w:proofErr w:type="spellEnd"/>
      <w:r w:rsidRPr="00097A40">
        <w:rPr>
          <w:sz w:val="18"/>
          <w:szCs w:val="18"/>
          <w:lang w:val="es-ES_tradnl"/>
        </w:rPr>
        <w:t>. 22-25.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E1E"/>
    <w:multiLevelType w:val="hybridMultilevel"/>
    <w:tmpl w:val="459246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9504ABC"/>
    <w:multiLevelType w:val="hybridMultilevel"/>
    <w:tmpl w:val="6BB800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4E910D9"/>
    <w:multiLevelType w:val="hybridMultilevel"/>
    <w:tmpl w:val="F5DCA8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39D2153"/>
    <w:multiLevelType w:val="hybridMultilevel"/>
    <w:tmpl w:val="510A7D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444C586F"/>
    <w:multiLevelType w:val="hybridMultilevel"/>
    <w:tmpl w:val="DD92B8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2472F61"/>
    <w:multiLevelType w:val="hybridMultilevel"/>
    <w:tmpl w:val="998E821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40750B5"/>
    <w:multiLevelType w:val="hybridMultilevel"/>
    <w:tmpl w:val="08B6AE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242A1"/>
    <w:multiLevelType w:val="hybridMultilevel"/>
    <w:tmpl w:val="929A96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8CD5B54"/>
    <w:multiLevelType w:val="hybridMultilevel"/>
    <w:tmpl w:val="56FEA446"/>
    <w:lvl w:ilvl="0" w:tplc="3628EAE0">
      <w:start w:val="100"/>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8"/>
  </w:num>
  <w:num w:numId="4">
    <w:abstractNumId w:val="9"/>
  </w:num>
  <w:num w:numId="5">
    <w:abstractNumId w:val="0"/>
  </w:num>
  <w:num w:numId="6">
    <w:abstractNumId w:val="1"/>
  </w:num>
  <w:num w:numId="7">
    <w:abstractNumId w:val="6"/>
  </w:num>
  <w:num w:numId="8">
    <w:abstractNumId w:val="2"/>
  </w:num>
  <w:num w:numId="9">
    <w:abstractNumId w:val="5"/>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2427D"/>
    <w:rsid w:val="00026E73"/>
    <w:rsid w:val="00033008"/>
    <w:rsid w:val="00037E8F"/>
    <w:rsid w:val="00051D76"/>
    <w:rsid w:val="00057DA8"/>
    <w:rsid w:val="00077956"/>
    <w:rsid w:val="0008338C"/>
    <w:rsid w:val="000844A6"/>
    <w:rsid w:val="00086485"/>
    <w:rsid w:val="00094AF4"/>
    <w:rsid w:val="0009572E"/>
    <w:rsid w:val="000964DE"/>
    <w:rsid w:val="000A3EF4"/>
    <w:rsid w:val="000C1415"/>
    <w:rsid w:val="000E0317"/>
    <w:rsid w:val="000E04D5"/>
    <w:rsid w:val="000E2C6B"/>
    <w:rsid w:val="000E45E5"/>
    <w:rsid w:val="00103276"/>
    <w:rsid w:val="001033FF"/>
    <w:rsid w:val="001139A3"/>
    <w:rsid w:val="00123815"/>
    <w:rsid w:val="0012543C"/>
    <w:rsid w:val="001315B0"/>
    <w:rsid w:val="00134A66"/>
    <w:rsid w:val="00136781"/>
    <w:rsid w:val="001444C4"/>
    <w:rsid w:val="001473B3"/>
    <w:rsid w:val="001701A1"/>
    <w:rsid w:val="0017257B"/>
    <w:rsid w:val="001801D1"/>
    <w:rsid w:val="00180DF8"/>
    <w:rsid w:val="001970AE"/>
    <w:rsid w:val="001A0DCE"/>
    <w:rsid w:val="001B1828"/>
    <w:rsid w:val="001B4060"/>
    <w:rsid w:val="001E30BA"/>
    <w:rsid w:val="001F6892"/>
    <w:rsid w:val="00200DA0"/>
    <w:rsid w:val="0020179F"/>
    <w:rsid w:val="002053D9"/>
    <w:rsid w:val="00207EAE"/>
    <w:rsid w:val="00211C55"/>
    <w:rsid w:val="00220662"/>
    <w:rsid w:val="002223E0"/>
    <w:rsid w:val="00234F98"/>
    <w:rsid w:val="00246360"/>
    <w:rsid w:val="002502D1"/>
    <w:rsid w:val="00255789"/>
    <w:rsid w:val="00266371"/>
    <w:rsid w:val="002748B0"/>
    <w:rsid w:val="00274A80"/>
    <w:rsid w:val="00274BA0"/>
    <w:rsid w:val="00277C57"/>
    <w:rsid w:val="0028504F"/>
    <w:rsid w:val="00290B0C"/>
    <w:rsid w:val="002A1486"/>
    <w:rsid w:val="002B0C08"/>
    <w:rsid w:val="002B197A"/>
    <w:rsid w:val="002B5A50"/>
    <w:rsid w:val="002C1F2C"/>
    <w:rsid w:val="002C54D6"/>
    <w:rsid w:val="002D3D52"/>
    <w:rsid w:val="002D4310"/>
    <w:rsid w:val="002D5A82"/>
    <w:rsid w:val="002E434A"/>
    <w:rsid w:val="002F799A"/>
    <w:rsid w:val="00314E7C"/>
    <w:rsid w:val="0032277B"/>
    <w:rsid w:val="0033411B"/>
    <w:rsid w:val="003410AA"/>
    <w:rsid w:val="00341749"/>
    <w:rsid w:val="0036261D"/>
    <w:rsid w:val="003754BB"/>
    <w:rsid w:val="003754C3"/>
    <w:rsid w:val="003765D6"/>
    <w:rsid w:val="003812A9"/>
    <w:rsid w:val="003836C0"/>
    <w:rsid w:val="003A0090"/>
    <w:rsid w:val="003A17B8"/>
    <w:rsid w:val="003A22D4"/>
    <w:rsid w:val="003A7914"/>
    <w:rsid w:val="003B0C3C"/>
    <w:rsid w:val="003F0258"/>
    <w:rsid w:val="003F5E9D"/>
    <w:rsid w:val="00403D7F"/>
    <w:rsid w:val="00432027"/>
    <w:rsid w:val="00440ECE"/>
    <w:rsid w:val="00443E94"/>
    <w:rsid w:val="00446F40"/>
    <w:rsid w:val="00463B79"/>
    <w:rsid w:val="00464BF8"/>
    <w:rsid w:val="004662AF"/>
    <w:rsid w:val="004758AA"/>
    <w:rsid w:val="00477E8D"/>
    <w:rsid w:val="00480146"/>
    <w:rsid w:val="004930AB"/>
    <w:rsid w:val="00493DDB"/>
    <w:rsid w:val="004A2B79"/>
    <w:rsid w:val="004D3F24"/>
    <w:rsid w:val="004F365C"/>
    <w:rsid w:val="004F693E"/>
    <w:rsid w:val="004F7CB0"/>
    <w:rsid w:val="0050180E"/>
    <w:rsid w:val="00502AC8"/>
    <w:rsid w:val="005072C5"/>
    <w:rsid w:val="005156B2"/>
    <w:rsid w:val="0052326E"/>
    <w:rsid w:val="0054549B"/>
    <w:rsid w:val="00581FD1"/>
    <w:rsid w:val="00582B47"/>
    <w:rsid w:val="00594B3B"/>
    <w:rsid w:val="005B01D5"/>
    <w:rsid w:val="005B038A"/>
    <w:rsid w:val="005F1B65"/>
    <w:rsid w:val="005F43A3"/>
    <w:rsid w:val="006029AA"/>
    <w:rsid w:val="00634CA9"/>
    <w:rsid w:val="0063524A"/>
    <w:rsid w:val="00644B97"/>
    <w:rsid w:val="006552D5"/>
    <w:rsid w:val="00656EAE"/>
    <w:rsid w:val="006570C7"/>
    <w:rsid w:val="0065710B"/>
    <w:rsid w:val="00665BEC"/>
    <w:rsid w:val="00670F6C"/>
    <w:rsid w:val="00675616"/>
    <w:rsid w:val="00676AD5"/>
    <w:rsid w:val="00692C61"/>
    <w:rsid w:val="006A7B14"/>
    <w:rsid w:val="006C491D"/>
    <w:rsid w:val="006E1090"/>
    <w:rsid w:val="006E3562"/>
    <w:rsid w:val="006E7431"/>
    <w:rsid w:val="006F0BBC"/>
    <w:rsid w:val="007003F6"/>
    <w:rsid w:val="007039BC"/>
    <w:rsid w:val="00717B7C"/>
    <w:rsid w:val="00733FC6"/>
    <w:rsid w:val="007354EA"/>
    <w:rsid w:val="00744DCB"/>
    <w:rsid w:val="007450F4"/>
    <w:rsid w:val="007650C2"/>
    <w:rsid w:val="00796915"/>
    <w:rsid w:val="007A5B9B"/>
    <w:rsid w:val="007B292E"/>
    <w:rsid w:val="007C4235"/>
    <w:rsid w:val="007C506C"/>
    <w:rsid w:val="007D3693"/>
    <w:rsid w:val="007D382E"/>
    <w:rsid w:val="007D726E"/>
    <w:rsid w:val="007E4F76"/>
    <w:rsid w:val="007F120E"/>
    <w:rsid w:val="007F7532"/>
    <w:rsid w:val="00810FC3"/>
    <w:rsid w:val="00816B78"/>
    <w:rsid w:val="008170E6"/>
    <w:rsid w:val="008236F8"/>
    <w:rsid w:val="00834D1A"/>
    <w:rsid w:val="0083711D"/>
    <w:rsid w:val="00837F09"/>
    <w:rsid w:val="0085185C"/>
    <w:rsid w:val="008612F4"/>
    <w:rsid w:val="00867583"/>
    <w:rsid w:val="00882780"/>
    <w:rsid w:val="008A0260"/>
    <w:rsid w:val="008A4E69"/>
    <w:rsid w:val="008A6F73"/>
    <w:rsid w:val="008B33D2"/>
    <w:rsid w:val="008B718B"/>
    <w:rsid w:val="008C2814"/>
    <w:rsid w:val="008D7396"/>
    <w:rsid w:val="008E21EC"/>
    <w:rsid w:val="008F30D1"/>
    <w:rsid w:val="00932B88"/>
    <w:rsid w:val="00935E9C"/>
    <w:rsid w:val="0094251F"/>
    <w:rsid w:val="00944F40"/>
    <w:rsid w:val="0094779C"/>
    <w:rsid w:val="009723CE"/>
    <w:rsid w:val="0098274B"/>
    <w:rsid w:val="00984246"/>
    <w:rsid w:val="009912B9"/>
    <w:rsid w:val="00993E07"/>
    <w:rsid w:val="009E2B22"/>
    <w:rsid w:val="00A030A0"/>
    <w:rsid w:val="00A129A4"/>
    <w:rsid w:val="00A15A70"/>
    <w:rsid w:val="00A2091D"/>
    <w:rsid w:val="00A218ED"/>
    <w:rsid w:val="00A24134"/>
    <w:rsid w:val="00A4408F"/>
    <w:rsid w:val="00A535EC"/>
    <w:rsid w:val="00A66C9D"/>
    <w:rsid w:val="00A6756E"/>
    <w:rsid w:val="00A72207"/>
    <w:rsid w:val="00A7360C"/>
    <w:rsid w:val="00A83454"/>
    <w:rsid w:val="00A84AEE"/>
    <w:rsid w:val="00AA4872"/>
    <w:rsid w:val="00AA76B6"/>
    <w:rsid w:val="00AB0B1D"/>
    <w:rsid w:val="00AB15AB"/>
    <w:rsid w:val="00AB6D1E"/>
    <w:rsid w:val="00AC6F4C"/>
    <w:rsid w:val="00AD1727"/>
    <w:rsid w:val="00AE10E7"/>
    <w:rsid w:val="00AE1287"/>
    <w:rsid w:val="00AF3C0C"/>
    <w:rsid w:val="00AF6929"/>
    <w:rsid w:val="00AF7DBA"/>
    <w:rsid w:val="00B03640"/>
    <w:rsid w:val="00B1369E"/>
    <w:rsid w:val="00B2445F"/>
    <w:rsid w:val="00B30782"/>
    <w:rsid w:val="00B419B3"/>
    <w:rsid w:val="00B438A3"/>
    <w:rsid w:val="00B4680B"/>
    <w:rsid w:val="00B60FD8"/>
    <w:rsid w:val="00B6255B"/>
    <w:rsid w:val="00B625AF"/>
    <w:rsid w:val="00B879BD"/>
    <w:rsid w:val="00BA5606"/>
    <w:rsid w:val="00BC3C86"/>
    <w:rsid w:val="00BD2A52"/>
    <w:rsid w:val="00BD7EEC"/>
    <w:rsid w:val="00BE1567"/>
    <w:rsid w:val="00BF4539"/>
    <w:rsid w:val="00C06E7A"/>
    <w:rsid w:val="00C22E07"/>
    <w:rsid w:val="00C236C2"/>
    <w:rsid w:val="00C24A99"/>
    <w:rsid w:val="00C2576D"/>
    <w:rsid w:val="00C2690D"/>
    <w:rsid w:val="00C339E7"/>
    <w:rsid w:val="00C43BDC"/>
    <w:rsid w:val="00C53E46"/>
    <w:rsid w:val="00C57AA0"/>
    <w:rsid w:val="00C62F49"/>
    <w:rsid w:val="00C64099"/>
    <w:rsid w:val="00C938ED"/>
    <w:rsid w:val="00CD6B49"/>
    <w:rsid w:val="00CE20DD"/>
    <w:rsid w:val="00CE489B"/>
    <w:rsid w:val="00CE5FBA"/>
    <w:rsid w:val="00CF522C"/>
    <w:rsid w:val="00D00A25"/>
    <w:rsid w:val="00D05065"/>
    <w:rsid w:val="00D059DA"/>
    <w:rsid w:val="00D17475"/>
    <w:rsid w:val="00D17698"/>
    <w:rsid w:val="00D2659A"/>
    <w:rsid w:val="00D34E89"/>
    <w:rsid w:val="00D4205B"/>
    <w:rsid w:val="00D42AFA"/>
    <w:rsid w:val="00D44B03"/>
    <w:rsid w:val="00D57982"/>
    <w:rsid w:val="00D6221C"/>
    <w:rsid w:val="00D70702"/>
    <w:rsid w:val="00D92FCE"/>
    <w:rsid w:val="00DA5D83"/>
    <w:rsid w:val="00DA646F"/>
    <w:rsid w:val="00DB0EB6"/>
    <w:rsid w:val="00DB5CB1"/>
    <w:rsid w:val="00DB77DD"/>
    <w:rsid w:val="00DB7F57"/>
    <w:rsid w:val="00DC1A82"/>
    <w:rsid w:val="00DD3BA3"/>
    <w:rsid w:val="00DD5472"/>
    <w:rsid w:val="00DE1432"/>
    <w:rsid w:val="00DE753D"/>
    <w:rsid w:val="00DF2ECA"/>
    <w:rsid w:val="00E02814"/>
    <w:rsid w:val="00E06806"/>
    <w:rsid w:val="00E1064D"/>
    <w:rsid w:val="00E128E8"/>
    <w:rsid w:val="00E1556A"/>
    <w:rsid w:val="00E256E1"/>
    <w:rsid w:val="00E430E5"/>
    <w:rsid w:val="00E54FC4"/>
    <w:rsid w:val="00E56341"/>
    <w:rsid w:val="00E568C8"/>
    <w:rsid w:val="00E576B5"/>
    <w:rsid w:val="00E7210D"/>
    <w:rsid w:val="00E755E6"/>
    <w:rsid w:val="00E7703C"/>
    <w:rsid w:val="00E778D3"/>
    <w:rsid w:val="00E8310E"/>
    <w:rsid w:val="00E86DAF"/>
    <w:rsid w:val="00E90323"/>
    <w:rsid w:val="00E904BD"/>
    <w:rsid w:val="00E90F10"/>
    <w:rsid w:val="00E94857"/>
    <w:rsid w:val="00E97436"/>
    <w:rsid w:val="00EA50D0"/>
    <w:rsid w:val="00EA697D"/>
    <w:rsid w:val="00EA6AC3"/>
    <w:rsid w:val="00EB3D3F"/>
    <w:rsid w:val="00EB3D4B"/>
    <w:rsid w:val="00EB3EE2"/>
    <w:rsid w:val="00EC2495"/>
    <w:rsid w:val="00ED649B"/>
    <w:rsid w:val="00EE3DF6"/>
    <w:rsid w:val="00EE7504"/>
    <w:rsid w:val="00F07DE1"/>
    <w:rsid w:val="00F23232"/>
    <w:rsid w:val="00F256B2"/>
    <w:rsid w:val="00F32A1D"/>
    <w:rsid w:val="00F35850"/>
    <w:rsid w:val="00F40EEB"/>
    <w:rsid w:val="00F43F75"/>
    <w:rsid w:val="00F4746B"/>
    <w:rsid w:val="00F51219"/>
    <w:rsid w:val="00F64953"/>
    <w:rsid w:val="00F662A3"/>
    <w:rsid w:val="00F71198"/>
    <w:rsid w:val="00F71C77"/>
    <w:rsid w:val="00F76818"/>
    <w:rsid w:val="00F7753E"/>
    <w:rsid w:val="00F9130D"/>
    <w:rsid w:val="00F918E6"/>
    <w:rsid w:val="00FD4B8D"/>
    <w:rsid w:val="00FD6063"/>
    <w:rsid w:val="00FD6318"/>
    <w:rsid w:val="00FD7550"/>
    <w:rsid w:val="00FE4BB1"/>
    <w:rsid w:val="00FE7C9D"/>
    <w:rsid w:val="00FF0CD6"/>
    <w:rsid w:val="00FF2C00"/>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2"/>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table" w:styleId="Tablaconcuadrcula2-nfasis1">
    <w:name w:val="Grid Table 2 Accent 1"/>
    <w:basedOn w:val="Tablanormal"/>
    <w:uiPriority w:val="47"/>
    <w:rsid w:val="00D34E89"/>
    <w:pPr>
      <w:spacing w:after="0" w:line="240" w:lineRule="auto"/>
    </w:pPr>
    <w:rPr>
      <w:rFonts w:eastAsiaTheme="minorEastAsia"/>
      <w:lang w:val="es-SV" w:eastAsia="es-SV"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34E89"/>
    <w:pPr>
      <w:spacing w:after="0" w:line="240" w:lineRule="auto"/>
    </w:pPr>
    <w:rPr>
      <w:rFonts w:ascii="Calibri" w:hAnsi="Calibri" w:cs="Calibri"/>
      <w:lang w:val="es-SV" w:eastAsia="es-SV" w:bidi="ar-SA"/>
    </w:rPr>
  </w:style>
  <w:style w:type="paragraph" w:customStyle="1" w:styleId="IFADparagraphnumbering">
    <w:name w:val="IFAD paragraph numbering"/>
    <w:basedOn w:val="Normal"/>
    <w:link w:val="IFADparagraphnumberingChar"/>
    <w:qFormat/>
    <w:rsid w:val="00033008"/>
    <w:pPr>
      <w:tabs>
        <w:tab w:val="left" w:pos="1134"/>
      </w:tabs>
      <w:suppressAutoHyphens/>
      <w:spacing w:after="120" w:line="264" w:lineRule="auto"/>
    </w:pPr>
    <w:rPr>
      <w:rFonts w:ascii="Arial" w:eastAsia="MS Mincho" w:hAnsi="Arial" w:cs="Arial"/>
      <w:kern w:val="2"/>
      <w:sz w:val="20"/>
      <w:szCs w:val="20"/>
      <w:lang w:val="es-ES_tradnl" w:eastAsia="es-SV" w:bidi="ar-SA"/>
    </w:rPr>
  </w:style>
  <w:style w:type="character" w:customStyle="1" w:styleId="IFADparagraphnumberingChar">
    <w:name w:val="IFAD paragraph numbering Char"/>
    <w:link w:val="IFADparagraphnumbering"/>
    <w:locked/>
    <w:rsid w:val="00033008"/>
    <w:rPr>
      <w:rFonts w:ascii="Arial" w:eastAsia="MS Mincho" w:hAnsi="Arial" w:cs="Arial"/>
      <w:kern w:val="2"/>
      <w:sz w:val="20"/>
      <w:szCs w:val="20"/>
      <w:lang w:val="es-ES_tradnl" w:eastAsia="es-SV" w:bidi="ar-SA"/>
    </w:rPr>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iPriority w:val="99"/>
    <w:unhideWhenUsed/>
    <w:qFormat/>
    <w:rsid w:val="006E7431"/>
    <w:pPr>
      <w:spacing w:after="0" w:line="240" w:lineRule="auto"/>
    </w:pPr>
    <w:rPr>
      <w:sz w:val="20"/>
      <w:szCs w:val="20"/>
      <w:lang w:val="en-PH" w:eastAsia="en-US" w:bidi="ar-SA"/>
    </w:rPr>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
    <w:basedOn w:val="Fuentedeprrafopredeter"/>
    <w:link w:val="Textonotapie"/>
    <w:uiPriority w:val="99"/>
    <w:rsid w:val="006E7431"/>
    <w:rPr>
      <w:sz w:val="20"/>
      <w:szCs w:val="20"/>
      <w:lang w:val="en-PH" w:eastAsia="en-US" w:bidi="ar-SA"/>
    </w:rPr>
  </w:style>
  <w:style w:type="character" w:styleId="Refdenotaalpie">
    <w:name w:val="footnote reference"/>
    <w:aliases w:val="ftref,16 Point,Superscript 6 Point,Superscript 6 Point + 11 pt,fr,Footnote Ref in FtNote,Style 24,o,SUPERS,BVI fnr,footnote ref,Carattere Char1,Carattere Char Char Carattere Carattere Char Char,BVI fnr Char Char Char Char,Ref"/>
    <w:basedOn w:val="Fuentedeprrafopredeter"/>
    <w:link w:val="BVIfnrCharCharChar"/>
    <w:uiPriority w:val="99"/>
    <w:unhideWhenUsed/>
    <w:qFormat/>
    <w:rsid w:val="006E7431"/>
    <w:rPr>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6E7431"/>
    <w:pPr>
      <w:spacing w:before="120"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quisiciones.sv@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5070BDD8-5EA2-45F4-8CF9-BDD0EFB8B24A}">
  <ds:schemaRefs>
    <ds:schemaRef ds:uri="http://schemas.openxmlformats.org/officeDocument/2006/bibliography"/>
  </ds:schemaRefs>
</ds:datastoreItem>
</file>

<file path=customXml/itemProps3.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D390C1A4-FC32-4278-A182-1F2B5EAC532B}">
  <ds:schemaRefs>
    <ds:schemaRef ds:uri="office.server.policy"/>
  </ds:schemaRefs>
</ds:datastoreItem>
</file>

<file path=customXml/itemProps6.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2012</Words>
  <Characters>11072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96</cp:revision>
  <cp:lastPrinted>2019-12-17T14:25:00Z</cp:lastPrinted>
  <dcterms:created xsi:type="dcterms:W3CDTF">2020-07-10T18:30:00Z</dcterms:created>
  <dcterms:modified xsi:type="dcterms:W3CDTF">2021-09-13T14:32:00Z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