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B192" w14:textId="015AA84B" w:rsidR="00F702D4" w:rsidRPr="001343EF" w:rsidRDefault="00F702D4" w:rsidP="00F702D4">
      <w:pPr>
        <w:jc w:val="center"/>
        <w:rPr>
          <w:rFonts w:asciiTheme="minorBidi" w:hAnsiTheme="minorBidi"/>
          <w:b/>
          <w:sz w:val="22"/>
          <w:u w:val="single"/>
        </w:rPr>
      </w:pPr>
      <w:r w:rsidRPr="001343EF">
        <w:rPr>
          <w:rFonts w:asciiTheme="minorBidi" w:hAnsiTheme="minorBidi"/>
          <w:b/>
          <w:sz w:val="22"/>
          <w:u w:val="single"/>
        </w:rPr>
        <w:t xml:space="preserve">TDR POUR LE RECRUTEMENT </w:t>
      </w:r>
      <w:r w:rsidR="00383AF9">
        <w:rPr>
          <w:rFonts w:asciiTheme="minorBidi" w:hAnsiTheme="minorBidi"/>
          <w:b/>
          <w:sz w:val="22"/>
          <w:u w:val="single"/>
        </w:rPr>
        <w:t>d’un</w:t>
      </w:r>
      <w:r w:rsidRPr="001343EF">
        <w:rPr>
          <w:rFonts w:asciiTheme="minorBidi" w:hAnsiTheme="minorBidi"/>
          <w:b/>
          <w:sz w:val="22"/>
          <w:u w:val="single"/>
        </w:rPr>
        <w:t xml:space="preserve"> </w:t>
      </w:r>
      <w:r w:rsidR="001343EF">
        <w:rPr>
          <w:rFonts w:asciiTheme="minorBidi" w:hAnsiTheme="minorBidi"/>
          <w:b/>
          <w:sz w:val="22"/>
          <w:u w:val="single"/>
        </w:rPr>
        <w:t xml:space="preserve">cabinet </w:t>
      </w:r>
      <w:r w:rsidR="0010268D" w:rsidRPr="001343EF">
        <w:rPr>
          <w:rFonts w:asciiTheme="minorBidi" w:hAnsiTheme="minorBidi"/>
          <w:b/>
          <w:sz w:val="22"/>
          <w:u w:val="single"/>
        </w:rPr>
        <w:t>pour renforcer la capacité du personnel du MEDD dans l’élaboration et la mise en œuvre du budget du ministère en se basant sur la méthodologie de budgétisation basée sur les résultats.</w:t>
      </w:r>
    </w:p>
    <w:tbl>
      <w:tblPr>
        <w:tblW w:w="0" w:type="auto"/>
        <w:tblLook w:val="04A0" w:firstRow="1" w:lastRow="0" w:firstColumn="1" w:lastColumn="0" w:noHBand="0" w:noVBand="1"/>
      </w:tblPr>
      <w:tblGrid>
        <w:gridCol w:w="2607"/>
        <w:gridCol w:w="6465"/>
      </w:tblGrid>
      <w:tr w:rsidR="00F702D4" w:rsidRPr="001343EF" w14:paraId="198E520D" w14:textId="77777777" w:rsidTr="00B50895">
        <w:trPr>
          <w:trHeight w:val="1233"/>
        </w:trPr>
        <w:tc>
          <w:tcPr>
            <w:tcW w:w="2660" w:type="dxa"/>
            <w:shd w:val="clear" w:color="auto" w:fill="auto"/>
          </w:tcPr>
          <w:p w14:paraId="1C99E0D8" w14:textId="77777777" w:rsidR="00F702D4" w:rsidRPr="001343EF" w:rsidRDefault="00F702D4" w:rsidP="00B50895">
            <w:pPr>
              <w:spacing w:after="0" w:line="240" w:lineRule="auto"/>
              <w:contextualSpacing/>
              <w:rPr>
                <w:rFonts w:asciiTheme="minorBidi" w:eastAsia="Times New Roman" w:hAnsiTheme="minorBidi"/>
                <w:b/>
                <w:bCs/>
                <w:sz w:val="22"/>
              </w:rPr>
            </w:pPr>
            <w:r w:rsidRPr="001343EF">
              <w:rPr>
                <w:rFonts w:asciiTheme="minorBidi" w:eastAsia="Times New Roman" w:hAnsiTheme="minorBidi"/>
                <w:b/>
                <w:bCs/>
                <w:sz w:val="22"/>
              </w:rPr>
              <w:t>Titre du poste :</w:t>
            </w:r>
          </w:p>
          <w:p w14:paraId="565377CA" w14:textId="77777777" w:rsidR="00F702D4" w:rsidRPr="001343EF" w:rsidRDefault="00F702D4" w:rsidP="00B50895">
            <w:pPr>
              <w:rPr>
                <w:rFonts w:asciiTheme="minorBidi" w:eastAsia="Times New Roman" w:hAnsiTheme="minorBidi"/>
                <w:b/>
                <w:bCs/>
                <w:sz w:val="22"/>
              </w:rPr>
            </w:pPr>
          </w:p>
          <w:p w14:paraId="5B27587F" w14:textId="77777777" w:rsidR="00F702D4" w:rsidRPr="001343EF" w:rsidRDefault="00F702D4" w:rsidP="00B50895">
            <w:pPr>
              <w:rPr>
                <w:rFonts w:asciiTheme="minorBidi" w:eastAsia="Times New Roman" w:hAnsiTheme="minorBidi"/>
                <w:sz w:val="22"/>
              </w:rPr>
            </w:pPr>
          </w:p>
        </w:tc>
        <w:tc>
          <w:tcPr>
            <w:tcW w:w="6583" w:type="dxa"/>
            <w:shd w:val="clear" w:color="auto" w:fill="auto"/>
          </w:tcPr>
          <w:p w14:paraId="0F7AF15B" w14:textId="0DF6F3DB" w:rsidR="00F702D4" w:rsidRPr="001343EF" w:rsidRDefault="00383AF9" w:rsidP="00B50895">
            <w:pPr>
              <w:spacing w:after="0" w:line="240" w:lineRule="auto"/>
              <w:contextualSpacing/>
              <w:rPr>
                <w:rFonts w:asciiTheme="minorBidi" w:eastAsia="Times New Roman" w:hAnsiTheme="minorBidi"/>
                <w:bCs/>
                <w:sz w:val="22"/>
              </w:rPr>
            </w:pPr>
            <w:r>
              <w:rPr>
                <w:rFonts w:asciiTheme="minorBidi" w:eastAsia="Times New Roman" w:hAnsiTheme="minorBidi"/>
                <w:bCs/>
                <w:sz w:val="22"/>
              </w:rPr>
              <w:t xml:space="preserve">Cabinet d’étude </w:t>
            </w:r>
            <w:r w:rsidR="0010268D" w:rsidRPr="001343EF">
              <w:rPr>
                <w:rFonts w:asciiTheme="minorBidi" w:eastAsia="Times New Roman" w:hAnsiTheme="minorBidi"/>
                <w:bCs/>
                <w:sz w:val="22"/>
              </w:rPr>
              <w:t xml:space="preserve">pour renforcer la capacité du MEDD dans l’élaboration et la mise en œuvre du budget du ministère </w:t>
            </w:r>
          </w:p>
          <w:p w14:paraId="7A89F524" w14:textId="77777777" w:rsidR="00F702D4" w:rsidRPr="001343EF" w:rsidRDefault="00F702D4" w:rsidP="00B50895">
            <w:pPr>
              <w:tabs>
                <w:tab w:val="left" w:pos="4140"/>
              </w:tabs>
              <w:rPr>
                <w:rFonts w:asciiTheme="minorBidi" w:eastAsia="Times New Roman" w:hAnsiTheme="minorBidi"/>
                <w:sz w:val="22"/>
              </w:rPr>
            </w:pPr>
            <w:r w:rsidRPr="001343EF">
              <w:rPr>
                <w:rFonts w:asciiTheme="minorBidi" w:eastAsia="Times New Roman" w:hAnsiTheme="minorBidi"/>
                <w:sz w:val="22"/>
              </w:rPr>
              <w:tab/>
            </w:r>
          </w:p>
        </w:tc>
      </w:tr>
      <w:tr w:rsidR="00F702D4" w:rsidRPr="001343EF" w14:paraId="36FF4E27" w14:textId="77777777" w:rsidTr="00B50895">
        <w:trPr>
          <w:trHeight w:val="428"/>
        </w:trPr>
        <w:tc>
          <w:tcPr>
            <w:tcW w:w="2660" w:type="dxa"/>
            <w:shd w:val="clear" w:color="auto" w:fill="auto"/>
          </w:tcPr>
          <w:p w14:paraId="03EE8CD3" w14:textId="77777777" w:rsidR="00F702D4" w:rsidRPr="001343EF" w:rsidRDefault="00F702D4" w:rsidP="00B50895">
            <w:pPr>
              <w:spacing w:after="0" w:line="240" w:lineRule="auto"/>
              <w:contextualSpacing/>
              <w:rPr>
                <w:rFonts w:asciiTheme="minorBidi" w:eastAsia="Times New Roman" w:hAnsiTheme="minorBidi"/>
                <w:b/>
                <w:bCs/>
                <w:sz w:val="22"/>
              </w:rPr>
            </w:pPr>
            <w:r w:rsidRPr="001343EF">
              <w:rPr>
                <w:rFonts w:asciiTheme="minorBidi" w:eastAsia="Times New Roman" w:hAnsiTheme="minorBidi"/>
                <w:b/>
                <w:bCs/>
                <w:sz w:val="22"/>
              </w:rPr>
              <w:t>Type de contrat :</w:t>
            </w:r>
          </w:p>
        </w:tc>
        <w:tc>
          <w:tcPr>
            <w:tcW w:w="6583" w:type="dxa"/>
            <w:shd w:val="clear" w:color="auto" w:fill="auto"/>
          </w:tcPr>
          <w:p w14:paraId="719D34CB" w14:textId="2A4A6E3C" w:rsidR="00F702D4" w:rsidRPr="001343EF" w:rsidRDefault="00F702D4" w:rsidP="00B50895">
            <w:pPr>
              <w:spacing w:after="0" w:line="240" w:lineRule="auto"/>
              <w:contextualSpacing/>
              <w:rPr>
                <w:rFonts w:asciiTheme="minorBidi" w:eastAsia="Times New Roman" w:hAnsiTheme="minorBidi"/>
                <w:bCs/>
                <w:sz w:val="22"/>
              </w:rPr>
            </w:pPr>
            <w:r w:rsidRPr="001343EF">
              <w:rPr>
                <w:rFonts w:asciiTheme="minorBidi" w:eastAsia="Times New Roman" w:hAnsiTheme="minorBidi"/>
                <w:bCs/>
                <w:sz w:val="22"/>
              </w:rPr>
              <w:t>Consultan</w:t>
            </w:r>
            <w:r w:rsidR="005A231C" w:rsidRPr="001343EF">
              <w:rPr>
                <w:rFonts w:asciiTheme="minorBidi" w:eastAsia="Times New Roman" w:hAnsiTheme="minorBidi"/>
                <w:bCs/>
                <w:sz w:val="22"/>
              </w:rPr>
              <w:t>ce</w:t>
            </w:r>
          </w:p>
        </w:tc>
      </w:tr>
      <w:tr w:rsidR="00F702D4" w:rsidRPr="001343EF" w14:paraId="48078885" w14:textId="77777777" w:rsidTr="00B50895">
        <w:trPr>
          <w:trHeight w:val="420"/>
        </w:trPr>
        <w:tc>
          <w:tcPr>
            <w:tcW w:w="2660" w:type="dxa"/>
            <w:shd w:val="clear" w:color="auto" w:fill="auto"/>
          </w:tcPr>
          <w:p w14:paraId="7B65F220" w14:textId="77777777" w:rsidR="00F702D4" w:rsidRPr="001343EF" w:rsidRDefault="00F702D4" w:rsidP="00B50895">
            <w:pPr>
              <w:spacing w:after="0" w:line="240" w:lineRule="auto"/>
              <w:contextualSpacing/>
              <w:rPr>
                <w:rFonts w:asciiTheme="minorBidi" w:eastAsia="Times New Roman" w:hAnsiTheme="minorBidi"/>
                <w:b/>
                <w:bCs/>
                <w:sz w:val="22"/>
              </w:rPr>
            </w:pPr>
            <w:r w:rsidRPr="001343EF">
              <w:rPr>
                <w:rFonts w:asciiTheme="minorBidi" w:eastAsia="Times New Roman" w:hAnsiTheme="minorBidi"/>
                <w:b/>
                <w:sz w:val="22"/>
              </w:rPr>
              <w:t>Grade :</w:t>
            </w:r>
          </w:p>
        </w:tc>
        <w:tc>
          <w:tcPr>
            <w:tcW w:w="6583" w:type="dxa"/>
            <w:shd w:val="clear" w:color="auto" w:fill="auto"/>
          </w:tcPr>
          <w:p w14:paraId="1106AC2A" w14:textId="77777777" w:rsidR="00F702D4" w:rsidRPr="001343EF" w:rsidRDefault="00F702D4" w:rsidP="00B50895">
            <w:pPr>
              <w:spacing w:after="0" w:line="240" w:lineRule="auto"/>
              <w:contextualSpacing/>
              <w:rPr>
                <w:rFonts w:asciiTheme="minorBidi" w:eastAsia="Times New Roman" w:hAnsiTheme="minorBidi"/>
                <w:bCs/>
                <w:sz w:val="22"/>
              </w:rPr>
            </w:pPr>
          </w:p>
        </w:tc>
      </w:tr>
      <w:tr w:rsidR="00F702D4" w:rsidRPr="001343EF" w14:paraId="6E032694" w14:textId="77777777" w:rsidTr="00B50895">
        <w:trPr>
          <w:trHeight w:val="427"/>
        </w:trPr>
        <w:tc>
          <w:tcPr>
            <w:tcW w:w="2660" w:type="dxa"/>
            <w:shd w:val="clear" w:color="auto" w:fill="auto"/>
          </w:tcPr>
          <w:p w14:paraId="640D382C" w14:textId="77777777" w:rsidR="00F702D4" w:rsidRPr="001343EF" w:rsidRDefault="00F702D4" w:rsidP="00B50895">
            <w:pPr>
              <w:spacing w:after="0" w:line="240" w:lineRule="auto"/>
              <w:contextualSpacing/>
              <w:rPr>
                <w:rFonts w:asciiTheme="minorBidi" w:eastAsia="Times New Roman" w:hAnsiTheme="minorBidi"/>
                <w:b/>
                <w:bCs/>
                <w:sz w:val="22"/>
              </w:rPr>
            </w:pPr>
            <w:r w:rsidRPr="001343EF">
              <w:rPr>
                <w:rFonts w:asciiTheme="minorBidi" w:eastAsia="Times New Roman" w:hAnsiTheme="minorBidi"/>
                <w:b/>
                <w:bCs/>
                <w:sz w:val="22"/>
              </w:rPr>
              <w:t>Durée du contrat :</w:t>
            </w:r>
          </w:p>
        </w:tc>
        <w:tc>
          <w:tcPr>
            <w:tcW w:w="6583" w:type="dxa"/>
            <w:shd w:val="clear" w:color="auto" w:fill="auto"/>
          </w:tcPr>
          <w:p w14:paraId="6A30D25D" w14:textId="3331B89E" w:rsidR="00F702D4" w:rsidRPr="001343EF" w:rsidRDefault="0010268D" w:rsidP="00B50895">
            <w:pPr>
              <w:spacing w:after="0" w:line="240" w:lineRule="auto"/>
              <w:contextualSpacing/>
              <w:rPr>
                <w:rFonts w:asciiTheme="minorBidi" w:eastAsia="Times New Roman" w:hAnsiTheme="minorBidi"/>
                <w:bCs/>
                <w:sz w:val="22"/>
              </w:rPr>
            </w:pPr>
            <w:r w:rsidRPr="001343EF">
              <w:rPr>
                <w:rFonts w:asciiTheme="minorBidi" w:eastAsia="Times New Roman" w:hAnsiTheme="minorBidi"/>
                <w:bCs/>
                <w:sz w:val="22"/>
              </w:rPr>
              <w:t>350</w:t>
            </w:r>
            <w:r w:rsidR="00F702D4" w:rsidRPr="001343EF">
              <w:rPr>
                <w:rFonts w:asciiTheme="minorBidi" w:eastAsia="Times New Roman" w:hAnsiTheme="minorBidi"/>
                <w:bCs/>
                <w:sz w:val="22"/>
              </w:rPr>
              <w:t xml:space="preserve"> HJ sur </w:t>
            </w:r>
            <w:r w:rsidRPr="001343EF">
              <w:rPr>
                <w:rFonts w:asciiTheme="minorBidi" w:eastAsia="Times New Roman" w:hAnsiTheme="minorBidi"/>
                <w:bCs/>
                <w:sz w:val="22"/>
              </w:rPr>
              <w:t>1</w:t>
            </w:r>
            <w:r w:rsidR="00D90E91" w:rsidRPr="001343EF">
              <w:rPr>
                <w:rFonts w:asciiTheme="minorBidi" w:eastAsia="Times New Roman" w:hAnsiTheme="minorBidi"/>
                <w:bCs/>
                <w:sz w:val="22"/>
              </w:rPr>
              <w:t>5</w:t>
            </w:r>
            <w:r w:rsidR="00F702D4" w:rsidRPr="001343EF">
              <w:rPr>
                <w:rFonts w:asciiTheme="minorBidi" w:eastAsia="Times New Roman" w:hAnsiTheme="minorBidi"/>
                <w:bCs/>
                <w:sz w:val="22"/>
              </w:rPr>
              <w:t xml:space="preserve"> mois </w:t>
            </w:r>
          </w:p>
        </w:tc>
      </w:tr>
      <w:tr w:rsidR="00F702D4" w:rsidRPr="001343EF" w14:paraId="52DFC0E5" w14:textId="77777777" w:rsidTr="00B50895">
        <w:tc>
          <w:tcPr>
            <w:tcW w:w="2660" w:type="dxa"/>
            <w:shd w:val="clear" w:color="auto" w:fill="auto"/>
          </w:tcPr>
          <w:p w14:paraId="09EBF215" w14:textId="77777777" w:rsidR="00F702D4" w:rsidRPr="001343EF" w:rsidRDefault="00F702D4" w:rsidP="00B50895">
            <w:pPr>
              <w:spacing w:after="0" w:line="240" w:lineRule="auto"/>
              <w:contextualSpacing/>
              <w:rPr>
                <w:rFonts w:asciiTheme="minorBidi" w:eastAsia="Times New Roman" w:hAnsiTheme="minorBidi"/>
                <w:b/>
                <w:bCs/>
                <w:sz w:val="22"/>
              </w:rPr>
            </w:pPr>
            <w:r w:rsidRPr="001343EF">
              <w:rPr>
                <w:rFonts w:asciiTheme="minorBidi" w:eastAsia="Times New Roman" w:hAnsiTheme="minorBidi"/>
                <w:b/>
                <w:bCs/>
                <w:sz w:val="22"/>
              </w:rPr>
              <w:t>Lieu d’affectation</w:t>
            </w:r>
            <w:r w:rsidRPr="001343EF">
              <w:rPr>
                <w:rFonts w:asciiTheme="minorBidi" w:eastAsia="Times New Roman" w:hAnsiTheme="minorBidi"/>
                <w:bCs/>
                <w:sz w:val="22"/>
              </w:rPr>
              <w:t> :</w:t>
            </w:r>
          </w:p>
        </w:tc>
        <w:tc>
          <w:tcPr>
            <w:tcW w:w="6583" w:type="dxa"/>
            <w:shd w:val="clear" w:color="auto" w:fill="auto"/>
          </w:tcPr>
          <w:p w14:paraId="3BB2BBEA" w14:textId="77777777" w:rsidR="00F702D4" w:rsidRPr="001343EF" w:rsidRDefault="00F702D4" w:rsidP="00B50895">
            <w:pPr>
              <w:spacing w:after="0" w:line="240" w:lineRule="auto"/>
              <w:contextualSpacing/>
              <w:rPr>
                <w:rFonts w:asciiTheme="minorBidi" w:eastAsia="Times New Roman" w:hAnsiTheme="minorBidi"/>
                <w:b/>
                <w:bCs/>
                <w:sz w:val="22"/>
              </w:rPr>
            </w:pPr>
            <w:r w:rsidRPr="001343EF">
              <w:rPr>
                <w:rFonts w:asciiTheme="minorBidi" w:eastAsia="Times New Roman" w:hAnsiTheme="minorBidi"/>
                <w:bCs/>
                <w:sz w:val="22"/>
              </w:rPr>
              <w:t>Antananarivo avec possibilité de déplacements à l’intérieur du pays</w:t>
            </w:r>
          </w:p>
        </w:tc>
      </w:tr>
    </w:tbl>
    <w:p w14:paraId="6CF7F691" w14:textId="77777777" w:rsidR="00F702D4" w:rsidRPr="00CC2621" w:rsidRDefault="00F702D4" w:rsidP="00F702D4">
      <w:pPr>
        <w:tabs>
          <w:tab w:val="left" w:pos="3150"/>
        </w:tabs>
        <w:rPr>
          <w:rFonts w:ascii="Arial Narrow" w:hAnsi="Arial Narrow" w:cs="Times New Roman"/>
          <w:sz w:val="22"/>
        </w:rPr>
      </w:pPr>
    </w:p>
    <w:p w14:paraId="7FBB0FA9" w14:textId="77777777" w:rsidR="00F702D4" w:rsidRPr="00CC2621" w:rsidRDefault="00F702D4" w:rsidP="00737259">
      <w:pPr>
        <w:pStyle w:val="Titre1"/>
        <w:rPr>
          <w:sz w:val="22"/>
          <w:szCs w:val="22"/>
        </w:rPr>
      </w:pPr>
      <w:r w:rsidRPr="00CC2621">
        <w:rPr>
          <w:sz w:val="22"/>
          <w:szCs w:val="22"/>
        </w:rPr>
        <w:t>Contexte</w:t>
      </w:r>
    </w:p>
    <w:p w14:paraId="4654B151" w14:textId="77777777" w:rsidR="00F702D4" w:rsidRPr="00CC2621" w:rsidRDefault="00F702D4" w:rsidP="00F702D4">
      <w:pPr>
        <w:rPr>
          <w:rFonts w:asciiTheme="minorBidi" w:hAnsiTheme="minorBidi"/>
          <w:sz w:val="22"/>
        </w:rPr>
      </w:pPr>
      <w:r w:rsidRPr="00CC2621">
        <w:rPr>
          <w:rFonts w:asciiTheme="minorBidi" w:hAnsiTheme="minorBidi"/>
          <w:sz w:val="22"/>
        </w:rPr>
        <w:t xml:space="preserve">La biodiversité, c’est la vie sur Terre. C’est la nature sous toutes ses formes. Celle-ci nous fournit les éléments essentiels à la vie, à la société et à l’économie : air pur, eau propre, nourriture, divertissement, trame culturelle, stabilité climatique et contribue à de nombreux autres processus améliorant le bien-être humain. La biodiversité est constituée des organismes vivants et des écosystèmes qui sous-tendent notre économie et offrent les conditions essentielles à une vie humaine saine et productive. </w:t>
      </w:r>
    </w:p>
    <w:p w14:paraId="3A23520F" w14:textId="77777777" w:rsidR="00F702D4" w:rsidRPr="00CC2621" w:rsidRDefault="00F702D4" w:rsidP="00F702D4">
      <w:pPr>
        <w:rPr>
          <w:rFonts w:asciiTheme="minorBidi" w:hAnsiTheme="minorBidi"/>
          <w:sz w:val="22"/>
        </w:rPr>
      </w:pPr>
      <w:r w:rsidRPr="00CC2621">
        <w:rPr>
          <w:rFonts w:asciiTheme="minorBidi" w:hAnsiTheme="minorBidi"/>
          <w:sz w:val="22"/>
        </w:rPr>
        <w:t xml:space="preserve">Bien qu’au moins 52 milliards de dollars US soient annuellement dépensés pour la biodiversité </w:t>
      </w:r>
      <w:proofErr w:type="gramStart"/>
      <w:r w:rsidRPr="00CC2621">
        <w:rPr>
          <w:rFonts w:asciiTheme="minorBidi" w:hAnsiTheme="minorBidi"/>
          <w:sz w:val="22"/>
        </w:rPr>
        <w:t>dans</w:t>
      </w:r>
      <w:proofErr w:type="gramEnd"/>
      <w:r w:rsidRPr="00CC2621">
        <w:rPr>
          <w:rFonts w:asciiTheme="minorBidi" w:hAnsiTheme="minorBidi"/>
          <w:sz w:val="22"/>
        </w:rPr>
        <w:t xml:space="preserve"> le monde, le besoin de financement est en réalité estimé à 150 à 440 milliards de dollars US par an. Ce déficit de financement est un défi majeur qui nuit à la réalisation du Plan stratégique de la Convention sur la diversité biologique (CBD) et des ODD. Il peut cependant être surmonté, puisqu’il ne représente que 0,2 % à 0,6 % du PIB mondial.</w:t>
      </w:r>
    </w:p>
    <w:p w14:paraId="0B95B759" w14:textId="24F4D752" w:rsidR="00B62C37" w:rsidRPr="00CC2621" w:rsidRDefault="00F702D4" w:rsidP="00616415">
      <w:pPr>
        <w:rPr>
          <w:rFonts w:asciiTheme="minorBidi" w:hAnsiTheme="minorBidi"/>
          <w:sz w:val="22"/>
        </w:rPr>
      </w:pPr>
      <w:r w:rsidRPr="00CC2621">
        <w:rPr>
          <w:rFonts w:asciiTheme="minorBidi" w:hAnsiTheme="minorBidi"/>
          <w:sz w:val="22"/>
        </w:rPr>
        <w:t>Madagascar abrite environ 5% de la biodiversité mondiale</w:t>
      </w:r>
      <w:r w:rsidR="00665AE9" w:rsidRPr="00CC2621">
        <w:rPr>
          <w:rFonts w:asciiTheme="minorBidi" w:hAnsiTheme="minorBidi"/>
          <w:sz w:val="22"/>
        </w:rPr>
        <w:t>, ce qui est très important par rapport à sa superficie</w:t>
      </w:r>
      <w:r w:rsidRPr="00CC2621">
        <w:rPr>
          <w:rFonts w:asciiTheme="minorBidi" w:hAnsiTheme="minorBidi"/>
          <w:sz w:val="22"/>
        </w:rPr>
        <w:t>. L’économie du pays en général, inclue les espèces faunistiques et floristiques qui constituent les matières premières pou</w:t>
      </w:r>
      <w:r w:rsidR="008D3766" w:rsidRPr="00CC2621">
        <w:rPr>
          <w:rFonts w:asciiTheme="minorBidi" w:hAnsiTheme="minorBidi"/>
          <w:sz w:val="22"/>
        </w:rPr>
        <w:t>r ses activités de production c</w:t>
      </w:r>
      <w:r w:rsidRPr="00CC2621">
        <w:rPr>
          <w:rFonts w:asciiTheme="minorBidi" w:hAnsiTheme="minorBidi"/>
          <w:sz w:val="22"/>
        </w:rPr>
        <w:t>e qui justifie la place à donner aux valeurs de la biodiversité malgache dans son milieu écologique, son économie, sa société et sa culture.</w:t>
      </w:r>
      <w:r w:rsidR="00616415" w:rsidRPr="00CC2621">
        <w:rPr>
          <w:rFonts w:asciiTheme="minorBidi" w:hAnsiTheme="minorBidi"/>
          <w:sz w:val="22"/>
        </w:rPr>
        <w:t xml:space="preserve"> </w:t>
      </w:r>
      <w:r w:rsidR="004769AD" w:rsidRPr="00CC2621">
        <w:rPr>
          <w:rFonts w:asciiTheme="minorBidi" w:hAnsiTheme="minorBidi"/>
          <w:sz w:val="22"/>
        </w:rPr>
        <w:t>La conservation de la biodiversité est une priorité pour Madagascar qui a ratifiée la convention internationale pour la diversité biologique et s’est doté d’une Stratégie et Plans d’Actions Nationaux pour la biodiversité (SPANB) pour la période 2015 à 2025. Cette stratégie a été adoptée par le décret N°2016-128 du 23 février 2016. Chaque entité concernée est alors appelée à la mettre en œuvre</w:t>
      </w:r>
      <w:r w:rsidR="00484237" w:rsidRPr="00CC2621">
        <w:rPr>
          <w:rFonts w:asciiTheme="minorBidi" w:hAnsiTheme="minorBidi"/>
          <w:sz w:val="22"/>
        </w:rPr>
        <w:t xml:space="preserve"> par rapport à aux thématique qui l</w:t>
      </w:r>
      <w:r w:rsidR="00DD762B" w:rsidRPr="00CC2621">
        <w:rPr>
          <w:rFonts w:asciiTheme="minorBidi" w:hAnsiTheme="minorBidi"/>
          <w:sz w:val="22"/>
        </w:rPr>
        <w:t>a</w:t>
      </w:r>
      <w:r w:rsidR="00484237" w:rsidRPr="00CC2621">
        <w:rPr>
          <w:rFonts w:asciiTheme="minorBidi" w:hAnsiTheme="minorBidi"/>
          <w:sz w:val="22"/>
        </w:rPr>
        <w:t xml:space="preserve"> concernent</w:t>
      </w:r>
      <w:r w:rsidR="004769AD" w:rsidRPr="00CC2621">
        <w:rPr>
          <w:rFonts w:asciiTheme="minorBidi" w:hAnsiTheme="minorBidi"/>
          <w:sz w:val="22"/>
        </w:rPr>
        <w:t xml:space="preserve">. </w:t>
      </w:r>
    </w:p>
    <w:p w14:paraId="3F185BC6" w14:textId="09A78423" w:rsidR="00B62C37" w:rsidRPr="00CC2621" w:rsidRDefault="00B62C37" w:rsidP="00616415">
      <w:pPr>
        <w:rPr>
          <w:rFonts w:asciiTheme="minorBidi" w:hAnsiTheme="minorBidi"/>
          <w:sz w:val="22"/>
        </w:rPr>
      </w:pPr>
      <w:r w:rsidRPr="00CC2621">
        <w:rPr>
          <w:rFonts w:asciiTheme="minorBidi" w:hAnsiTheme="minorBidi"/>
          <w:sz w:val="22"/>
        </w:rPr>
        <w:t xml:space="preserve">BIOFIN est un partenariat mondial géré par le PNUD œuvrant avec des pays du monde entier à l’amélioration du financement de la biodiversité. BIOFIN se sert d’évaluations détaillées au </w:t>
      </w:r>
      <w:r w:rsidRPr="00CC2621">
        <w:rPr>
          <w:rFonts w:asciiTheme="minorBidi" w:hAnsiTheme="minorBidi"/>
          <w:sz w:val="22"/>
        </w:rPr>
        <w:lastRenderedPageBreak/>
        <w:t>niveau national pour élaborer un plan de financement de la biodiversité, en s’appuyant sur des données qualitatives et quantitatives, des méthodologies novatrices et des contributions d’experts. Elle a été initiée à Madagascar depuis l’année 2018. Le lancement officiel du projet à Madagascar a eu lieu le 25 juillet 2019</w:t>
      </w:r>
    </w:p>
    <w:p w14:paraId="7705E692" w14:textId="77777777" w:rsidR="00B62C37" w:rsidRPr="00CC2621" w:rsidRDefault="00B62C37" w:rsidP="00B62C37">
      <w:pPr>
        <w:spacing w:after="160" w:line="259" w:lineRule="auto"/>
        <w:rPr>
          <w:rFonts w:ascii="Arial" w:eastAsia="Calibri" w:hAnsi="Arial" w:cs="Arial"/>
          <w:sz w:val="22"/>
        </w:rPr>
      </w:pPr>
      <w:r w:rsidRPr="00CC2621">
        <w:rPr>
          <w:rFonts w:ascii="Arial" w:eastAsia="Calibri" w:hAnsi="Arial" w:cs="Arial"/>
          <w:sz w:val="22"/>
        </w:rPr>
        <w:t>La méthodologie BIOFIN offre une approche innovante, progressive et adaptable qui permet aux pays de :</w:t>
      </w:r>
    </w:p>
    <w:p w14:paraId="386B7144" w14:textId="77777777" w:rsidR="00B62C37" w:rsidRPr="00CC2621" w:rsidRDefault="00B62C37" w:rsidP="00B62C37">
      <w:pPr>
        <w:pStyle w:val="Paragraphedeliste"/>
        <w:numPr>
          <w:ilvl w:val="0"/>
          <w:numId w:val="2"/>
        </w:numPr>
        <w:rPr>
          <w:rFonts w:ascii="Arial" w:eastAsia="Calibri" w:hAnsi="Arial" w:cs="Arial"/>
          <w:color w:val="000000"/>
          <w:sz w:val="22"/>
          <w:lang w:eastAsia="fr-FR" w:bidi="fr-FR"/>
        </w:rPr>
      </w:pPr>
      <w:r w:rsidRPr="00CC2621">
        <w:rPr>
          <w:rFonts w:ascii="Arial" w:eastAsia="Calibri" w:hAnsi="Arial" w:cs="Arial"/>
          <w:color w:val="000000"/>
          <w:sz w:val="22"/>
          <w:lang w:eastAsia="fr-FR" w:bidi="fr-FR"/>
        </w:rPr>
        <w:t>Evaluer le contexte politique, institutionnel et économique du financement de la biodiversité </w:t>
      </w:r>
    </w:p>
    <w:p w14:paraId="0CE50BDB" w14:textId="77777777" w:rsidR="00B62C37" w:rsidRPr="00CC2621" w:rsidRDefault="00B62C37" w:rsidP="00B62C37">
      <w:pPr>
        <w:pStyle w:val="Paragraphedeliste"/>
        <w:numPr>
          <w:ilvl w:val="0"/>
          <w:numId w:val="2"/>
        </w:numPr>
        <w:rPr>
          <w:rFonts w:ascii="Arial" w:eastAsia="Calibri" w:hAnsi="Arial" w:cs="Arial"/>
          <w:color w:val="000000"/>
          <w:sz w:val="22"/>
          <w:lang w:eastAsia="fr-FR" w:bidi="fr-FR"/>
        </w:rPr>
      </w:pPr>
      <w:r w:rsidRPr="00CC2621">
        <w:rPr>
          <w:rFonts w:ascii="Arial" w:eastAsia="Calibri" w:hAnsi="Arial" w:cs="Arial"/>
          <w:color w:val="000000"/>
          <w:sz w:val="22"/>
          <w:lang w:eastAsia="fr-FR" w:bidi="fr-FR"/>
        </w:rPr>
        <w:t>Mesurer et analyser les dépenses actuelles en matière de biodiversité, auprès des secteurs publics et privés, des donateurs et des organisations non gouvernementales </w:t>
      </w:r>
    </w:p>
    <w:p w14:paraId="4A049558" w14:textId="36EE0C09" w:rsidR="00B62C37" w:rsidRPr="00CC2621" w:rsidRDefault="00B62C37" w:rsidP="00B62C37">
      <w:pPr>
        <w:pStyle w:val="Paragraphedeliste"/>
        <w:numPr>
          <w:ilvl w:val="0"/>
          <w:numId w:val="2"/>
        </w:numPr>
        <w:rPr>
          <w:rFonts w:ascii="Arial" w:eastAsia="Calibri" w:hAnsi="Arial" w:cs="Arial"/>
          <w:color w:val="000000"/>
          <w:sz w:val="22"/>
          <w:lang w:eastAsia="fr-FR" w:bidi="fr-FR"/>
        </w:rPr>
      </w:pPr>
      <w:r w:rsidRPr="00CC2621">
        <w:rPr>
          <w:rFonts w:ascii="Arial" w:eastAsia="Calibri" w:hAnsi="Arial" w:cs="Arial"/>
          <w:color w:val="000000"/>
          <w:sz w:val="22"/>
          <w:lang w:eastAsia="fr-FR" w:bidi="fr-FR"/>
        </w:rPr>
        <w:t>Effectuer une estimation fiable des besoins financiers</w:t>
      </w:r>
      <w:r w:rsidR="00616415" w:rsidRPr="00CC2621">
        <w:rPr>
          <w:rFonts w:ascii="Arial" w:eastAsia="Calibri" w:hAnsi="Arial" w:cs="Arial"/>
          <w:color w:val="000000"/>
          <w:sz w:val="22"/>
          <w:lang w:eastAsia="fr-FR" w:bidi="fr-FR"/>
        </w:rPr>
        <w:t xml:space="preserve"> </w:t>
      </w:r>
      <w:r w:rsidRPr="00CC2621">
        <w:rPr>
          <w:rFonts w:ascii="Arial" w:eastAsia="Calibri" w:hAnsi="Arial" w:cs="Arial"/>
          <w:color w:val="000000"/>
          <w:sz w:val="22"/>
          <w:lang w:eastAsia="fr-FR" w:bidi="fr-FR"/>
        </w:rPr>
        <w:t>(EBF) pour atteindre les objectifs de biodiversité d’un pays, et de comparer cette estimation aux dépenses actuelles relatives à la biodiversité et aux autres ressources disponibles ;</w:t>
      </w:r>
    </w:p>
    <w:p w14:paraId="2CE22112" w14:textId="77777777" w:rsidR="00B62C37" w:rsidRPr="00CC2621" w:rsidRDefault="00B62C37" w:rsidP="00B62C37">
      <w:pPr>
        <w:pStyle w:val="Paragraphedeliste"/>
        <w:numPr>
          <w:ilvl w:val="0"/>
          <w:numId w:val="2"/>
        </w:numPr>
        <w:rPr>
          <w:rFonts w:ascii="Arial" w:eastAsia="Calibri" w:hAnsi="Arial" w:cs="Arial"/>
          <w:color w:val="000000"/>
          <w:sz w:val="22"/>
          <w:lang w:eastAsia="fr-FR" w:bidi="fr-FR"/>
        </w:rPr>
      </w:pPr>
      <w:r w:rsidRPr="00CC2621">
        <w:rPr>
          <w:rFonts w:ascii="Arial" w:eastAsia="Calibri" w:hAnsi="Arial" w:cs="Arial"/>
          <w:color w:val="000000"/>
          <w:sz w:val="22"/>
          <w:lang w:eastAsia="fr-FR" w:bidi="fr-FR"/>
        </w:rPr>
        <w:t>Elaborer un plan de financement pour la biodiversité qui identifie et mobilise les ressources et les politiques nécessaires pour mettre en œuvre les solutions de financement les plus appropriées</w:t>
      </w:r>
    </w:p>
    <w:p w14:paraId="4C1967B3" w14:textId="77777777" w:rsidR="00B62C37" w:rsidRPr="00CC2621" w:rsidRDefault="00B62C37" w:rsidP="00616415">
      <w:pPr>
        <w:rPr>
          <w:rFonts w:ascii="Arial" w:eastAsia="Calibri" w:hAnsi="Arial" w:cs="Arial"/>
          <w:snapToGrid w:val="0"/>
          <w:color w:val="231F20"/>
          <w:sz w:val="22"/>
        </w:rPr>
      </w:pPr>
      <w:r w:rsidRPr="00CC2621">
        <w:rPr>
          <w:rFonts w:ascii="Arial" w:eastAsia="Calibri" w:hAnsi="Arial" w:cs="Arial"/>
          <w:color w:val="000000"/>
          <w:sz w:val="22"/>
          <w:lang w:eastAsia="fr-FR" w:bidi="fr-FR"/>
        </w:rPr>
        <w:t xml:space="preserve">Une fois le plan de financement élaboré, le projet appuie le gouvernement de Madagascar pour la mise en œuvre de ce plan. Il s’agit entre autres d’appui pour trouver les sources de financement mais également dans la mise en place des conditions pour une meilleure gestion de fonds alloués à la biodiversité. </w:t>
      </w:r>
      <w:r w:rsidRPr="00CC2621">
        <w:rPr>
          <w:rFonts w:ascii="Arial" w:eastAsia="Calibri" w:hAnsi="Arial" w:cs="Arial"/>
          <w:snapToGrid w:val="0"/>
          <w:color w:val="231F20"/>
          <w:sz w:val="22"/>
        </w:rPr>
        <w:t>Cette consultance entre dans le cadre de cet appui.</w:t>
      </w:r>
    </w:p>
    <w:p w14:paraId="54E6E269" w14:textId="59BAF7B5" w:rsidR="00DF1DB7" w:rsidRPr="00CC2621" w:rsidRDefault="00616415" w:rsidP="00616415">
      <w:pPr>
        <w:rPr>
          <w:rFonts w:ascii="Arial" w:eastAsia="Calibri" w:hAnsi="Arial" w:cs="Arial"/>
          <w:sz w:val="22"/>
        </w:rPr>
      </w:pPr>
      <w:r w:rsidRPr="00CC2621">
        <w:rPr>
          <w:rFonts w:ascii="Arial" w:eastAsia="Calibri" w:hAnsi="Arial" w:cs="Arial"/>
          <w:sz w:val="22"/>
        </w:rPr>
        <w:t>L’analyse</w:t>
      </w:r>
      <w:r w:rsidR="009A0E3B" w:rsidRPr="00CC2621">
        <w:rPr>
          <w:rFonts w:ascii="Arial" w:eastAsia="Calibri" w:hAnsi="Arial" w:cs="Arial"/>
          <w:sz w:val="22"/>
        </w:rPr>
        <w:t xml:space="preserve"> des dépenses de la biodiversité réalisées dans le cadre de BIOFIN</w:t>
      </w:r>
      <w:r w:rsidR="00B62C37" w:rsidRPr="00CC2621">
        <w:rPr>
          <w:rFonts w:ascii="Arial" w:eastAsia="Calibri" w:hAnsi="Arial" w:cs="Arial"/>
          <w:sz w:val="22"/>
        </w:rPr>
        <w:t xml:space="preserve"> a permis de montrer</w:t>
      </w:r>
      <w:r w:rsidRPr="00CC2621">
        <w:rPr>
          <w:rFonts w:ascii="Arial" w:eastAsia="Calibri" w:hAnsi="Arial" w:cs="Arial"/>
          <w:sz w:val="22"/>
        </w:rPr>
        <w:t xml:space="preserve"> </w:t>
      </w:r>
      <w:r w:rsidR="009A0E3B" w:rsidRPr="00CC2621">
        <w:rPr>
          <w:rFonts w:ascii="Arial" w:eastAsia="Calibri" w:hAnsi="Arial" w:cs="Arial"/>
          <w:sz w:val="22"/>
        </w:rPr>
        <w:t>que pour la période d’étude 2014-2018, les dépenses pour la biodiversité du secteur public ont été de 129 milliards d’Ariary soit 41,69 millio</w:t>
      </w:r>
      <w:r w:rsidR="004769AD" w:rsidRPr="00CC2621">
        <w:rPr>
          <w:rFonts w:ascii="Arial" w:eastAsia="Calibri" w:hAnsi="Arial" w:cs="Arial"/>
          <w:sz w:val="22"/>
        </w:rPr>
        <w:t xml:space="preserve">ns de $ en prix constant </w:t>
      </w:r>
      <w:r w:rsidR="009A0E3B" w:rsidRPr="00CC2621">
        <w:rPr>
          <w:rFonts w:ascii="Arial" w:eastAsia="Calibri" w:hAnsi="Arial" w:cs="Arial"/>
          <w:sz w:val="22"/>
        </w:rPr>
        <w:t>2014 ne représentant en moyenne que seulement 0,41% du budget public pour les 5 années d’études</w:t>
      </w:r>
      <w:r w:rsidR="004769AD" w:rsidRPr="00CC2621">
        <w:rPr>
          <w:rFonts w:ascii="Arial" w:eastAsia="Calibri" w:hAnsi="Arial" w:cs="Arial"/>
          <w:sz w:val="22"/>
        </w:rPr>
        <w:t>.</w:t>
      </w:r>
      <w:r w:rsidR="00FD46DB" w:rsidRPr="00CC2621">
        <w:rPr>
          <w:rFonts w:ascii="Arial" w:eastAsia="Calibri" w:hAnsi="Arial" w:cs="Arial"/>
          <w:sz w:val="22"/>
        </w:rPr>
        <w:t xml:space="preserve"> Ce constat indique que malgré l’importance de la biodiversité, les dépenses restent très faibles au niveau national se traduisant par une forte perte de la biodiversité qui a un impact négati</w:t>
      </w:r>
      <w:r w:rsidRPr="00CC2621">
        <w:rPr>
          <w:rFonts w:ascii="Arial" w:eastAsia="Calibri" w:hAnsi="Arial" w:cs="Arial"/>
          <w:sz w:val="22"/>
        </w:rPr>
        <w:t xml:space="preserve">f </w:t>
      </w:r>
      <w:r w:rsidR="00FD46DB" w:rsidRPr="00CC2621">
        <w:rPr>
          <w:rFonts w:ascii="Arial" w:eastAsia="Calibri" w:hAnsi="Arial" w:cs="Arial"/>
          <w:sz w:val="22"/>
        </w:rPr>
        <w:t>sur le développement durable de Madagascar.</w:t>
      </w:r>
      <w:r w:rsidR="004769AD" w:rsidRPr="00CC2621">
        <w:rPr>
          <w:rFonts w:ascii="Arial" w:eastAsia="Calibri" w:hAnsi="Arial" w:cs="Arial"/>
          <w:sz w:val="22"/>
        </w:rPr>
        <w:t xml:space="preserve"> </w:t>
      </w:r>
      <w:r w:rsidR="00B62C37" w:rsidRPr="00CC2621">
        <w:rPr>
          <w:rFonts w:ascii="Arial" w:eastAsia="Calibri" w:hAnsi="Arial" w:cs="Arial"/>
          <w:sz w:val="22"/>
        </w:rPr>
        <w:t xml:space="preserve"> Dans ce cadre, i</w:t>
      </w:r>
      <w:r w:rsidR="004769AD" w:rsidRPr="00CC2621">
        <w:rPr>
          <w:rFonts w:ascii="Arial" w:eastAsia="Calibri" w:hAnsi="Arial" w:cs="Arial"/>
          <w:sz w:val="22"/>
        </w:rPr>
        <w:t>l y a un besoin</w:t>
      </w:r>
      <w:r w:rsidR="00FD46DB" w:rsidRPr="00CC2621">
        <w:rPr>
          <w:rFonts w:ascii="Arial" w:eastAsia="Calibri" w:hAnsi="Arial" w:cs="Arial"/>
          <w:sz w:val="22"/>
        </w:rPr>
        <w:t xml:space="preserve"> urgent </w:t>
      </w:r>
      <w:r w:rsidR="004769AD" w:rsidRPr="00CC2621">
        <w:rPr>
          <w:rFonts w:ascii="Arial" w:eastAsia="Calibri" w:hAnsi="Arial" w:cs="Arial"/>
          <w:sz w:val="22"/>
        </w:rPr>
        <w:t xml:space="preserve">d’améliorer l’intégration de la biodiversité </w:t>
      </w:r>
      <w:proofErr w:type="gramStart"/>
      <w:r w:rsidR="004769AD" w:rsidRPr="00CC2621">
        <w:rPr>
          <w:rFonts w:ascii="Arial" w:eastAsia="Calibri" w:hAnsi="Arial" w:cs="Arial"/>
          <w:sz w:val="22"/>
        </w:rPr>
        <w:t xml:space="preserve">de </w:t>
      </w:r>
      <w:r w:rsidR="00B62C37" w:rsidRPr="00CC2621">
        <w:rPr>
          <w:rFonts w:ascii="Arial" w:eastAsia="Calibri" w:hAnsi="Arial" w:cs="Arial"/>
          <w:sz w:val="22"/>
        </w:rPr>
        <w:t>le</w:t>
      </w:r>
      <w:proofErr w:type="gramEnd"/>
      <w:r w:rsidR="004769AD" w:rsidRPr="00CC2621">
        <w:rPr>
          <w:rFonts w:ascii="Arial" w:eastAsia="Calibri" w:hAnsi="Arial" w:cs="Arial"/>
          <w:sz w:val="22"/>
        </w:rPr>
        <w:t xml:space="preserve"> processus de budgétisation </w:t>
      </w:r>
      <w:r w:rsidR="00B62C37" w:rsidRPr="00CC2621">
        <w:rPr>
          <w:rFonts w:ascii="Arial" w:eastAsia="Calibri" w:hAnsi="Arial" w:cs="Arial"/>
          <w:sz w:val="22"/>
        </w:rPr>
        <w:t>public pour augmenter le budget alloué</w:t>
      </w:r>
      <w:r w:rsidR="00FD46DB" w:rsidRPr="00CC2621">
        <w:rPr>
          <w:rFonts w:ascii="Arial" w:eastAsia="Calibri" w:hAnsi="Arial" w:cs="Arial"/>
          <w:sz w:val="22"/>
        </w:rPr>
        <w:t xml:space="preserve"> pour la biodiversité </w:t>
      </w:r>
      <w:r w:rsidR="00B62C37" w:rsidRPr="00CC2621">
        <w:rPr>
          <w:rFonts w:ascii="Arial" w:eastAsia="Calibri" w:hAnsi="Arial" w:cs="Arial"/>
          <w:sz w:val="22"/>
        </w:rPr>
        <w:t xml:space="preserve"> </w:t>
      </w:r>
      <w:r w:rsidR="004769AD" w:rsidRPr="00CC2621">
        <w:rPr>
          <w:rFonts w:ascii="Arial" w:eastAsia="Calibri" w:hAnsi="Arial" w:cs="Arial"/>
          <w:sz w:val="22"/>
        </w:rPr>
        <w:t xml:space="preserve"> ainsi que d’améliorer l’efficacité </w:t>
      </w:r>
      <w:r w:rsidR="00B62C37" w:rsidRPr="00CC2621">
        <w:rPr>
          <w:rFonts w:ascii="Arial" w:eastAsia="Calibri" w:hAnsi="Arial" w:cs="Arial"/>
          <w:sz w:val="22"/>
        </w:rPr>
        <w:t>de s</w:t>
      </w:r>
      <w:r w:rsidR="004769AD" w:rsidRPr="00CC2621">
        <w:rPr>
          <w:rFonts w:ascii="Arial" w:eastAsia="Calibri" w:hAnsi="Arial" w:cs="Arial"/>
          <w:sz w:val="22"/>
        </w:rPr>
        <w:t>a mise en œuvre</w:t>
      </w:r>
      <w:r w:rsidR="00B62C37" w:rsidRPr="00CC2621">
        <w:rPr>
          <w:rFonts w:ascii="Arial" w:eastAsia="Calibri" w:hAnsi="Arial" w:cs="Arial"/>
          <w:sz w:val="22"/>
        </w:rPr>
        <w:t xml:space="preserve"> </w:t>
      </w:r>
      <w:r w:rsidR="004769AD" w:rsidRPr="00CC2621">
        <w:rPr>
          <w:rFonts w:ascii="Arial" w:eastAsia="Calibri" w:hAnsi="Arial" w:cs="Arial"/>
          <w:sz w:val="22"/>
        </w:rPr>
        <w:t>grâce à l’adoption d’une approche de budgétisation</w:t>
      </w:r>
      <w:r w:rsidR="00B62C37" w:rsidRPr="00CC2621">
        <w:rPr>
          <w:rFonts w:ascii="Arial" w:eastAsia="Calibri" w:hAnsi="Arial" w:cs="Arial"/>
          <w:sz w:val="22"/>
        </w:rPr>
        <w:t xml:space="preserve"> basée</w:t>
      </w:r>
      <w:r w:rsidR="004769AD" w:rsidRPr="00CC2621">
        <w:rPr>
          <w:rFonts w:ascii="Arial" w:eastAsia="Calibri" w:hAnsi="Arial" w:cs="Arial"/>
          <w:sz w:val="22"/>
        </w:rPr>
        <w:t xml:space="preserve"> sur les résultats</w:t>
      </w:r>
      <w:r w:rsidR="00B62C37" w:rsidRPr="00CC2621">
        <w:rPr>
          <w:rFonts w:ascii="Arial" w:eastAsia="Calibri" w:hAnsi="Arial" w:cs="Arial"/>
          <w:sz w:val="22"/>
        </w:rPr>
        <w:t>.</w:t>
      </w:r>
    </w:p>
    <w:p w14:paraId="5DA66E53" w14:textId="72E41B82" w:rsidR="009A0E3B" w:rsidRPr="00CC2621" w:rsidRDefault="00DF1DB7" w:rsidP="00616415">
      <w:pPr>
        <w:rPr>
          <w:rFonts w:ascii="Arial" w:eastAsia="Calibri" w:hAnsi="Arial" w:cs="Arial"/>
          <w:snapToGrid w:val="0"/>
          <w:color w:val="231F20"/>
          <w:sz w:val="22"/>
        </w:rPr>
      </w:pPr>
      <w:r w:rsidRPr="00CC2621">
        <w:rPr>
          <w:rFonts w:ascii="Arial" w:eastAsia="Calibri" w:hAnsi="Arial" w:cs="Arial"/>
          <w:sz w:val="22"/>
        </w:rPr>
        <w:t>La budgétisation axée sur les résultats (RBB) est un outil de planification et de gestion stratégique visant à lier les allocations budgétaires aux résultats attendus. L'introduction de la RBB contribue à réaliser des économies et à mieux définir les priorités dans l'allocation des maigres ressources publiques ou privées. Bien qu'elle soit considérée comme une bonne pratique dans le monde entier, seuls quelques pays mettent pleinement en œuvre la budgétisation axée sur les résultats. Le ministère des finances de Madagascar a adopté cette pratique de</w:t>
      </w:r>
      <w:r w:rsidR="00212BDC" w:rsidRPr="00CC2621">
        <w:rPr>
          <w:rFonts w:ascii="Arial" w:eastAsia="Calibri" w:hAnsi="Arial" w:cs="Arial"/>
          <w:sz w:val="22"/>
        </w:rPr>
        <w:t>pui</w:t>
      </w:r>
      <w:r w:rsidRPr="00CC2621">
        <w:rPr>
          <w:rFonts w:ascii="Arial" w:eastAsia="Calibri" w:hAnsi="Arial" w:cs="Arial"/>
          <w:sz w:val="22"/>
        </w:rPr>
        <w:t xml:space="preserve">s </w:t>
      </w:r>
      <w:r w:rsidR="00212BDC" w:rsidRPr="00CC2621">
        <w:rPr>
          <w:rFonts w:ascii="Arial" w:eastAsia="Calibri" w:hAnsi="Arial" w:cs="Arial"/>
          <w:sz w:val="22"/>
        </w:rPr>
        <w:t xml:space="preserve">2005, un certain nombre de ministère prioritaire ont commencé la mise en œuvre </w:t>
      </w:r>
      <w:r w:rsidRPr="00CC2621">
        <w:rPr>
          <w:rFonts w:ascii="Arial" w:eastAsia="Calibri" w:hAnsi="Arial" w:cs="Arial"/>
          <w:sz w:val="22"/>
        </w:rPr>
        <w:t>mais</w:t>
      </w:r>
      <w:r w:rsidR="00212BDC" w:rsidRPr="00CC2621">
        <w:rPr>
          <w:rFonts w:ascii="Arial" w:eastAsia="Calibri" w:hAnsi="Arial" w:cs="Arial"/>
          <w:sz w:val="22"/>
        </w:rPr>
        <w:t xml:space="preserve"> le ministère en charge de l’environnement n’en faisait pas partie. La pratique est </w:t>
      </w:r>
      <w:r w:rsidR="00212BDC" w:rsidRPr="00CC2621">
        <w:rPr>
          <w:rFonts w:ascii="Arial" w:eastAsia="Calibri" w:hAnsi="Arial" w:cs="Arial"/>
          <w:sz w:val="22"/>
        </w:rPr>
        <w:lastRenderedPageBreak/>
        <w:t xml:space="preserve">préconisée pour être utilisée dans tous les ministères depuis peu mais est </w:t>
      </w:r>
      <w:r w:rsidRPr="00CC2621">
        <w:rPr>
          <w:rFonts w:ascii="Arial" w:eastAsia="Calibri" w:hAnsi="Arial" w:cs="Arial"/>
          <w:sz w:val="22"/>
        </w:rPr>
        <w:t>faiblement mise œuvre au s</w:t>
      </w:r>
      <w:r w:rsidR="00212BDC" w:rsidRPr="00CC2621">
        <w:rPr>
          <w:rFonts w:ascii="Arial" w:eastAsia="Calibri" w:hAnsi="Arial" w:cs="Arial"/>
          <w:sz w:val="22"/>
        </w:rPr>
        <w:t>ei</w:t>
      </w:r>
      <w:r w:rsidRPr="00CC2621">
        <w:rPr>
          <w:rFonts w:ascii="Arial" w:eastAsia="Calibri" w:hAnsi="Arial" w:cs="Arial"/>
          <w:sz w:val="22"/>
        </w:rPr>
        <w:t>n du ministère de l’environnent</w:t>
      </w:r>
      <w:r w:rsidR="00616415" w:rsidRPr="00CC2621">
        <w:rPr>
          <w:rFonts w:ascii="Arial" w:eastAsia="Calibri" w:hAnsi="Arial" w:cs="Arial"/>
          <w:sz w:val="22"/>
        </w:rPr>
        <w:t>.</w:t>
      </w:r>
    </w:p>
    <w:p w14:paraId="780FD6EC" w14:textId="5BB3DC15" w:rsidR="00F702D4" w:rsidRPr="00CC2621" w:rsidRDefault="00F702D4" w:rsidP="00F702D4">
      <w:pPr>
        <w:rPr>
          <w:rFonts w:asciiTheme="minorBidi" w:hAnsiTheme="minorBidi"/>
          <w:sz w:val="22"/>
        </w:rPr>
      </w:pPr>
    </w:p>
    <w:p w14:paraId="1DEA5740" w14:textId="402ACEEB" w:rsidR="00F702D4" w:rsidRPr="00CC2621" w:rsidRDefault="00F702D4" w:rsidP="00737259">
      <w:pPr>
        <w:pStyle w:val="Titre1"/>
        <w:rPr>
          <w:sz w:val="22"/>
          <w:szCs w:val="22"/>
        </w:rPr>
      </w:pPr>
      <w:r w:rsidRPr="00CC2621">
        <w:rPr>
          <w:sz w:val="22"/>
          <w:szCs w:val="22"/>
        </w:rPr>
        <w:t xml:space="preserve">Objectif général </w:t>
      </w:r>
      <w:r w:rsidR="005A231C" w:rsidRPr="00CC2621">
        <w:rPr>
          <w:sz w:val="22"/>
          <w:szCs w:val="22"/>
        </w:rPr>
        <w:t>de la consultance</w:t>
      </w:r>
    </w:p>
    <w:p w14:paraId="4616581F" w14:textId="3474130D" w:rsidR="005A231C" w:rsidRPr="00CC2621" w:rsidRDefault="005A231C" w:rsidP="00453762">
      <w:pPr>
        <w:ind w:firstLine="1068"/>
        <w:rPr>
          <w:rFonts w:ascii="Arial" w:hAnsi="Arial" w:cs="Arial"/>
          <w:sz w:val="22"/>
        </w:rPr>
      </w:pPr>
      <w:r w:rsidRPr="00CC2621">
        <w:rPr>
          <w:rFonts w:ascii="Arial" w:hAnsi="Arial" w:cs="Arial"/>
          <w:sz w:val="22"/>
        </w:rPr>
        <w:t xml:space="preserve">En étroite collaboration avec l’équipe </w:t>
      </w:r>
      <w:r w:rsidR="002D7AAA" w:rsidRPr="00CC2621">
        <w:rPr>
          <w:rFonts w:ascii="Arial" w:hAnsi="Arial" w:cs="Arial"/>
          <w:sz w:val="22"/>
        </w:rPr>
        <w:t>de</w:t>
      </w:r>
      <w:r w:rsidRPr="00CC2621">
        <w:rPr>
          <w:rFonts w:ascii="Arial" w:hAnsi="Arial" w:cs="Arial"/>
          <w:sz w:val="22"/>
        </w:rPr>
        <w:t xml:space="preserve"> BIOFIN</w:t>
      </w:r>
      <w:r w:rsidR="002D7AAA" w:rsidRPr="00CC2621">
        <w:rPr>
          <w:rFonts w:ascii="Arial" w:hAnsi="Arial" w:cs="Arial"/>
          <w:sz w:val="22"/>
        </w:rPr>
        <w:t xml:space="preserve"> Madagascar</w:t>
      </w:r>
      <w:r w:rsidRPr="00CC2621">
        <w:rPr>
          <w:rFonts w:ascii="Arial" w:hAnsi="Arial" w:cs="Arial"/>
          <w:sz w:val="22"/>
        </w:rPr>
        <w:t xml:space="preserve">, en particulier le coordonnateur du projet, l’équipe de </w:t>
      </w:r>
      <w:r w:rsidR="002D7AAA" w:rsidRPr="00CC2621">
        <w:rPr>
          <w:rFonts w:ascii="Arial" w:hAnsi="Arial" w:cs="Arial"/>
          <w:sz w:val="22"/>
        </w:rPr>
        <w:t xml:space="preserve">consultant </w:t>
      </w:r>
      <w:r w:rsidR="00616415" w:rsidRPr="00CC2621">
        <w:rPr>
          <w:rFonts w:ascii="Arial" w:hAnsi="Arial" w:cs="Arial"/>
          <w:sz w:val="22"/>
        </w:rPr>
        <w:t>a</w:t>
      </w:r>
      <w:r w:rsidR="002D7AAA" w:rsidRPr="00CC2621">
        <w:rPr>
          <w:rFonts w:ascii="Arial" w:hAnsi="Arial" w:cs="Arial"/>
          <w:sz w:val="22"/>
        </w:rPr>
        <w:t xml:space="preserve"> pour objectif de renforcer la capacité des techniciens choisis du MEDD dans l’élaboration du budget du ministère</w:t>
      </w:r>
      <w:r w:rsidR="00FD46DB" w:rsidRPr="00CC2621">
        <w:rPr>
          <w:rFonts w:ascii="Arial" w:hAnsi="Arial" w:cs="Arial"/>
          <w:sz w:val="22"/>
        </w:rPr>
        <w:t xml:space="preserve"> au niveau central et </w:t>
      </w:r>
      <w:r w:rsidR="00DF1DB7" w:rsidRPr="00CC2621">
        <w:rPr>
          <w:rFonts w:ascii="Arial" w:hAnsi="Arial" w:cs="Arial"/>
          <w:sz w:val="22"/>
        </w:rPr>
        <w:t>régional</w:t>
      </w:r>
      <w:r w:rsidR="002D7AAA" w:rsidRPr="00CC2621">
        <w:rPr>
          <w:rFonts w:ascii="Arial" w:hAnsi="Arial" w:cs="Arial"/>
          <w:sz w:val="22"/>
        </w:rPr>
        <w:t xml:space="preserve"> et la mise en œuvre de celui-ci en suivant la méthodologie de la budgétisation basée sur les résultats.</w:t>
      </w:r>
    </w:p>
    <w:p w14:paraId="5E60B492" w14:textId="77777777" w:rsidR="00F702D4" w:rsidRPr="00CC2621" w:rsidRDefault="00F702D4" w:rsidP="00737259">
      <w:pPr>
        <w:pStyle w:val="Titre2"/>
        <w:rPr>
          <w:sz w:val="22"/>
          <w:szCs w:val="22"/>
        </w:rPr>
      </w:pPr>
      <w:r w:rsidRPr="00CC2621">
        <w:rPr>
          <w:sz w:val="22"/>
          <w:szCs w:val="22"/>
        </w:rPr>
        <w:t>Objectifs spécifiques</w:t>
      </w:r>
    </w:p>
    <w:p w14:paraId="3EFC40F9" w14:textId="77777777" w:rsidR="00F702D4" w:rsidRPr="00CC2621" w:rsidRDefault="00F702D4" w:rsidP="00F702D4">
      <w:pPr>
        <w:rPr>
          <w:rFonts w:ascii="Arial" w:hAnsi="Arial" w:cs="Arial"/>
          <w:sz w:val="22"/>
        </w:rPr>
      </w:pPr>
      <w:r w:rsidRPr="00CC2621">
        <w:rPr>
          <w:rFonts w:ascii="Arial" w:hAnsi="Arial" w:cs="Arial"/>
          <w:sz w:val="22"/>
        </w:rPr>
        <w:t>Les objectifs spécifiques de la consultance sont :</w:t>
      </w:r>
    </w:p>
    <w:p w14:paraId="6DDE0907" w14:textId="4333DA42" w:rsidR="00E919FC" w:rsidRPr="00CC2621" w:rsidRDefault="00E919FC" w:rsidP="008B75B8">
      <w:pPr>
        <w:pStyle w:val="Paragraphedeliste"/>
        <w:numPr>
          <w:ilvl w:val="0"/>
          <w:numId w:val="11"/>
        </w:numPr>
        <w:ind w:left="1134" w:hanging="425"/>
        <w:rPr>
          <w:rFonts w:ascii="Arial" w:hAnsi="Arial" w:cs="Arial"/>
          <w:sz w:val="22"/>
        </w:rPr>
      </w:pPr>
      <w:r w:rsidRPr="00CC2621">
        <w:rPr>
          <w:rFonts w:ascii="Arial" w:hAnsi="Arial" w:cs="Arial"/>
          <w:sz w:val="22"/>
        </w:rPr>
        <w:t>Revue et documentation des bonnes pratiques au niveau internationale</w:t>
      </w:r>
    </w:p>
    <w:p w14:paraId="2123C404" w14:textId="2AB08E9E" w:rsidR="00E919FC" w:rsidRPr="00CC2621" w:rsidRDefault="002D7AAA" w:rsidP="00E919FC">
      <w:pPr>
        <w:pStyle w:val="Paragraphedeliste"/>
        <w:numPr>
          <w:ilvl w:val="0"/>
          <w:numId w:val="3"/>
        </w:numPr>
        <w:rPr>
          <w:rFonts w:ascii="Arial" w:hAnsi="Arial" w:cs="Arial"/>
          <w:sz w:val="22"/>
        </w:rPr>
      </w:pPr>
      <w:r w:rsidRPr="00CC2621">
        <w:rPr>
          <w:rFonts w:ascii="Arial" w:hAnsi="Arial" w:cs="Arial"/>
          <w:sz w:val="22"/>
        </w:rPr>
        <w:t>Faire un état de lieux de l’élaboration et de la mise en œuvre du budget du ministère du l’Environnement et du Développement durable</w:t>
      </w:r>
      <w:r w:rsidR="00FD46DB" w:rsidRPr="00CC2621">
        <w:rPr>
          <w:rFonts w:ascii="Arial" w:hAnsi="Arial" w:cs="Arial"/>
          <w:sz w:val="22"/>
        </w:rPr>
        <w:t xml:space="preserve"> </w:t>
      </w:r>
      <w:r w:rsidR="00E919FC" w:rsidRPr="00CC2621">
        <w:rPr>
          <w:rFonts w:ascii="Arial" w:hAnsi="Arial" w:cs="Arial"/>
          <w:sz w:val="22"/>
        </w:rPr>
        <w:t xml:space="preserve">au niveau central et régional et développer des recommandations et une feuille de route </w:t>
      </w:r>
    </w:p>
    <w:p w14:paraId="541FCF99" w14:textId="03A0A1E6" w:rsidR="00636B4F" w:rsidRPr="00CC2621" w:rsidRDefault="00636B4F" w:rsidP="00E919FC">
      <w:pPr>
        <w:pStyle w:val="Paragraphedeliste"/>
        <w:numPr>
          <w:ilvl w:val="0"/>
          <w:numId w:val="3"/>
        </w:numPr>
        <w:rPr>
          <w:rFonts w:ascii="Arial" w:hAnsi="Arial" w:cs="Arial"/>
          <w:sz w:val="22"/>
        </w:rPr>
      </w:pPr>
      <w:r w:rsidRPr="00CC2621">
        <w:rPr>
          <w:rFonts w:ascii="Arial" w:hAnsi="Arial" w:cs="Arial"/>
          <w:sz w:val="22"/>
        </w:rPr>
        <w:t>Développer un manuel des procédures et des modalités à suivre pour une budgétisation accès sur les résultats pour MEDD</w:t>
      </w:r>
    </w:p>
    <w:p w14:paraId="510E0045" w14:textId="778AF3BC" w:rsidR="002D7AAA" w:rsidRPr="00CC2621" w:rsidRDefault="002D7AAA" w:rsidP="00F702D4">
      <w:pPr>
        <w:pStyle w:val="Paragraphedeliste"/>
        <w:numPr>
          <w:ilvl w:val="0"/>
          <w:numId w:val="3"/>
        </w:numPr>
        <w:rPr>
          <w:rFonts w:ascii="Arial" w:hAnsi="Arial" w:cs="Arial"/>
          <w:sz w:val="22"/>
        </w:rPr>
      </w:pPr>
      <w:r w:rsidRPr="00CC2621">
        <w:rPr>
          <w:rFonts w:ascii="Arial" w:hAnsi="Arial" w:cs="Arial"/>
          <w:sz w:val="22"/>
        </w:rPr>
        <w:t>Identifier les besoins de renforcement des capacités sur la base des recommandations et du cadre de budgétisation basée sur l</w:t>
      </w:r>
      <w:r w:rsidR="00D90E91" w:rsidRPr="00CC2621">
        <w:rPr>
          <w:rFonts w:ascii="Arial" w:hAnsi="Arial" w:cs="Arial"/>
          <w:sz w:val="22"/>
        </w:rPr>
        <w:t xml:space="preserve">es Résultats </w:t>
      </w:r>
      <w:r w:rsidRPr="00CC2621">
        <w:rPr>
          <w:rFonts w:ascii="Arial" w:hAnsi="Arial" w:cs="Arial"/>
          <w:sz w:val="22"/>
        </w:rPr>
        <w:t>(</w:t>
      </w:r>
      <w:r w:rsidR="00D90E91" w:rsidRPr="00CC2621">
        <w:rPr>
          <w:rFonts w:ascii="Arial" w:hAnsi="Arial" w:cs="Arial"/>
          <w:sz w:val="22"/>
        </w:rPr>
        <w:t>R</w:t>
      </w:r>
      <w:r w:rsidRPr="00CC2621">
        <w:rPr>
          <w:rFonts w:ascii="Arial" w:hAnsi="Arial" w:cs="Arial"/>
          <w:sz w:val="22"/>
        </w:rPr>
        <w:t>BB</w:t>
      </w:r>
      <w:r w:rsidR="00D90E91" w:rsidRPr="00CC2621">
        <w:rPr>
          <w:rFonts w:ascii="Arial" w:hAnsi="Arial" w:cs="Arial"/>
          <w:sz w:val="22"/>
        </w:rPr>
        <w:t xml:space="preserve"> – </w:t>
      </w:r>
      <w:proofErr w:type="spellStart"/>
      <w:r w:rsidR="00D90E91" w:rsidRPr="00CC2621">
        <w:rPr>
          <w:rFonts w:ascii="Arial" w:hAnsi="Arial" w:cs="Arial"/>
          <w:sz w:val="22"/>
        </w:rPr>
        <w:t>Result</w:t>
      </w:r>
      <w:proofErr w:type="spellEnd"/>
      <w:r w:rsidR="00D90E91" w:rsidRPr="00CC2621">
        <w:rPr>
          <w:rFonts w:ascii="Arial" w:hAnsi="Arial" w:cs="Arial"/>
          <w:sz w:val="22"/>
        </w:rPr>
        <w:t xml:space="preserve"> </w:t>
      </w:r>
      <w:proofErr w:type="spellStart"/>
      <w:r w:rsidR="00D90E91" w:rsidRPr="00CC2621">
        <w:rPr>
          <w:rFonts w:ascii="Arial" w:hAnsi="Arial" w:cs="Arial"/>
          <w:sz w:val="22"/>
        </w:rPr>
        <w:t>Based</w:t>
      </w:r>
      <w:proofErr w:type="spellEnd"/>
      <w:r w:rsidR="00D90E91" w:rsidRPr="00CC2621">
        <w:rPr>
          <w:rFonts w:ascii="Arial" w:hAnsi="Arial" w:cs="Arial"/>
          <w:sz w:val="22"/>
        </w:rPr>
        <w:t xml:space="preserve"> </w:t>
      </w:r>
      <w:proofErr w:type="spellStart"/>
      <w:r w:rsidR="00D90E91" w:rsidRPr="00CC2621">
        <w:rPr>
          <w:rFonts w:ascii="Arial" w:hAnsi="Arial" w:cs="Arial"/>
          <w:sz w:val="22"/>
        </w:rPr>
        <w:t>Budgeting</w:t>
      </w:r>
      <w:proofErr w:type="spellEnd"/>
      <w:r w:rsidRPr="00CC2621">
        <w:rPr>
          <w:rFonts w:ascii="Arial" w:hAnsi="Arial" w:cs="Arial"/>
          <w:sz w:val="22"/>
        </w:rPr>
        <w:t>) construit par le ministère des Finances aux niveaux national et régional</w:t>
      </w:r>
    </w:p>
    <w:p w14:paraId="73FCAB36" w14:textId="52F35AAD" w:rsidR="002D7AAA" w:rsidRPr="00CC2621" w:rsidRDefault="002D7AAA" w:rsidP="00F702D4">
      <w:pPr>
        <w:pStyle w:val="Paragraphedeliste"/>
        <w:numPr>
          <w:ilvl w:val="0"/>
          <w:numId w:val="3"/>
        </w:numPr>
        <w:rPr>
          <w:rFonts w:ascii="Arial" w:hAnsi="Arial" w:cs="Arial"/>
          <w:sz w:val="22"/>
        </w:rPr>
      </w:pPr>
      <w:r w:rsidRPr="00CC2621">
        <w:rPr>
          <w:rFonts w:ascii="Arial" w:hAnsi="Arial" w:cs="Arial"/>
          <w:sz w:val="22"/>
        </w:rPr>
        <w:t xml:space="preserve">Elaborer un plan </w:t>
      </w:r>
      <w:r w:rsidR="00FD46DB" w:rsidRPr="00CC2621">
        <w:rPr>
          <w:rFonts w:ascii="Arial" w:hAnsi="Arial" w:cs="Arial"/>
          <w:sz w:val="22"/>
        </w:rPr>
        <w:t xml:space="preserve">d’action </w:t>
      </w:r>
      <w:r w:rsidRPr="00CC2621">
        <w:rPr>
          <w:rFonts w:ascii="Arial" w:hAnsi="Arial" w:cs="Arial"/>
          <w:sz w:val="22"/>
        </w:rPr>
        <w:t>détaillé de renforcement des capacités au niveau central et régional.</w:t>
      </w:r>
    </w:p>
    <w:p w14:paraId="302B8083" w14:textId="37B44E71" w:rsidR="00F743A4" w:rsidRPr="00CC2621" w:rsidRDefault="00F743A4" w:rsidP="00F702D4">
      <w:pPr>
        <w:pStyle w:val="Paragraphedeliste"/>
        <w:numPr>
          <w:ilvl w:val="0"/>
          <w:numId w:val="3"/>
        </w:numPr>
        <w:rPr>
          <w:rFonts w:ascii="Arial" w:hAnsi="Arial" w:cs="Arial"/>
          <w:sz w:val="22"/>
        </w:rPr>
      </w:pPr>
      <w:r w:rsidRPr="00CC2621">
        <w:rPr>
          <w:rFonts w:ascii="Arial" w:hAnsi="Arial" w:cs="Arial"/>
          <w:sz w:val="22"/>
        </w:rPr>
        <w:t>Développer les modules de formation nécessaires aux renforcements de capacité</w:t>
      </w:r>
    </w:p>
    <w:p w14:paraId="28F1B195" w14:textId="0244C5B2" w:rsidR="00F743A4" w:rsidRPr="00CC2621" w:rsidRDefault="00F743A4" w:rsidP="00F702D4">
      <w:pPr>
        <w:pStyle w:val="Paragraphedeliste"/>
        <w:numPr>
          <w:ilvl w:val="0"/>
          <w:numId w:val="3"/>
        </w:numPr>
        <w:rPr>
          <w:rFonts w:ascii="Arial" w:hAnsi="Arial" w:cs="Arial"/>
          <w:sz w:val="22"/>
        </w:rPr>
      </w:pPr>
      <w:r w:rsidRPr="00CC2621">
        <w:rPr>
          <w:rFonts w:ascii="Arial" w:hAnsi="Arial" w:cs="Arial"/>
          <w:sz w:val="22"/>
        </w:rPr>
        <w:t>Mener les séances de renforcement de capacités des techniciens du MEDD au niveau national et au niveau régional (environ 400 personnes en tout)</w:t>
      </w:r>
    </w:p>
    <w:p w14:paraId="2360EF45" w14:textId="5DDA257B" w:rsidR="00F743A4" w:rsidRPr="00CC2621" w:rsidRDefault="00F743A4" w:rsidP="00F702D4">
      <w:pPr>
        <w:pStyle w:val="Paragraphedeliste"/>
        <w:numPr>
          <w:ilvl w:val="0"/>
          <w:numId w:val="3"/>
        </w:numPr>
        <w:rPr>
          <w:rFonts w:ascii="Arial" w:hAnsi="Arial" w:cs="Arial"/>
          <w:bCs/>
          <w:sz w:val="22"/>
        </w:rPr>
      </w:pPr>
      <w:r w:rsidRPr="00CC2621">
        <w:rPr>
          <w:rFonts w:ascii="Arial" w:hAnsi="Arial" w:cs="Arial"/>
          <w:bCs/>
          <w:sz w:val="22"/>
        </w:rPr>
        <w:t xml:space="preserve">Assurer le suivi de la </w:t>
      </w:r>
      <w:r w:rsidR="00616415" w:rsidRPr="00CC2621">
        <w:rPr>
          <w:rFonts w:ascii="Arial" w:hAnsi="Arial" w:cs="Arial"/>
          <w:bCs/>
          <w:sz w:val="22"/>
        </w:rPr>
        <w:t xml:space="preserve">formulation dans le </w:t>
      </w:r>
      <w:r w:rsidRPr="00CC2621">
        <w:rPr>
          <w:rFonts w:ascii="Arial" w:hAnsi="Arial" w:cs="Arial"/>
          <w:bCs/>
          <w:sz w:val="22"/>
        </w:rPr>
        <w:t xml:space="preserve">budget </w:t>
      </w:r>
      <w:r w:rsidR="00616415" w:rsidRPr="00CC2621">
        <w:rPr>
          <w:rFonts w:ascii="Arial" w:hAnsi="Arial" w:cs="Arial"/>
          <w:bCs/>
          <w:sz w:val="22"/>
        </w:rPr>
        <w:t>national des attentes régionales.</w:t>
      </w:r>
    </w:p>
    <w:p w14:paraId="2E8ED7DA" w14:textId="2773E32A" w:rsidR="00F743A4" w:rsidRPr="00CC2621" w:rsidRDefault="00616415" w:rsidP="00F743A4">
      <w:pPr>
        <w:pStyle w:val="Paragraphedeliste"/>
        <w:numPr>
          <w:ilvl w:val="0"/>
          <w:numId w:val="3"/>
        </w:numPr>
        <w:rPr>
          <w:rFonts w:ascii="Arial" w:hAnsi="Arial" w:cs="Arial"/>
          <w:bCs/>
          <w:sz w:val="22"/>
        </w:rPr>
      </w:pPr>
      <w:r w:rsidRPr="00CC2621">
        <w:rPr>
          <w:rFonts w:ascii="Arial" w:hAnsi="Arial" w:cs="Arial"/>
          <w:bCs/>
          <w:sz w:val="22"/>
        </w:rPr>
        <w:t xml:space="preserve">Mettre en place un système de suivi de </w:t>
      </w:r>
      <w:proofErr w:type="gramStart"/>
      <w:r w:rsidRPr="00CC2621">
        <w:rPr>
          <w:rFonts w:ascii="Arial" w:hAnsi="Arial" w:cs="Arial"/>
          <w:bCs/>
          <w:sz w:val="22"/>
        </w:rPr>
        <w:t>la</w:t>
      </w:r>
      <w:proofErr w:type="gramEnd"/>
      <w:r w:rsidRPr="00CC2621">
        <w:rPr>
          <w:rFonts w:ascii="Arial" w:hAnsi="Arial" w:cs="Arial"/>
          <w:bCs/>
          <w:sz w:val="22"/>
        </w:rPr>
        <w:t xml:space="preserve"> </w:t>
      </w:r>
      <w:r w:rsidR="00F743A4" w:rsidRPr="00CC2621">
        <w:rPr>
          <w:rFonts w:ascii="Arial" w:hAnsi="Arial" w:cs="Arial"/>
          <w:bCs/>
          <w:sz w:val="22"/>
        </w:rPr>
        <w:t>de la mise en œuvre du budget établi</w:t>
      </w:r>
    </w:p>
    <w:p w14:paraId="654F2A40" w14:textId="77777777" w:rsidR="00453762" w:rsidRPr="00CC2621" w:rsidRDefault="00453762" w:rsidP="00F702D4">
      <w:pPr>
        <w:rPr>
          <w:rFonts w:ascii="Arial" w:hAnsi="Arial" w:cs="Arial"/>
          <w:sz w:val="22"/>
        </w:rPr>
      </w:pPr>
    </w:p>
    <w:p w14:paraId="2914D449" w14:textId="77777777" w:rsidR="00F702D4" w:rsidRPr="00CC2621" w:rsidRDefault="00F702D4" w:rsidP="00737259">
      <w:pPr>
        <w:pStyle w:val="Titre2"/>
        <w:rPr>
          <w:sz w:val="22"/>
          <w:szCs w:val="22"/>
        </w:rPr>
      </w:pPr>
      <w:r w:rsidRPr="00CC2621">
        <w:rPr>
          <w:sz w:val="22"/>
          <w:szCs w:val="22"/>
        </w:rPr>
        <w:t>Résultats attendus</w:t>
      </w:r>
    </w:p>
    <w:p w14:paraId="1F20B1BD" w14:textId="4FF8D53F" w:rsidR="00F702D4" w:rsidRPr="00CC2621" w:rsidRDefault="00F743A4" w:rsidP="00F702D4">
      <w:pPr>
        <w:rPr>
          <w:rFonts w:ascii="Arial" w:hAnsi="Arial" w:cs="Arial"/>
          <w:sz w:val="22"/>
        </w:rPr>
      </w:pPr>
      <w:r w:rsidRPr="00CC2621">
        <w:rPr>
          <w:rFonts w:ascii="Arial" w:hAnsi="Arial" w:cs="Arial"/>
          <w:sz w:val="22"/>
        </w:rPr>
        <w:t>A l’issu de</w:t>
      </w:r>
      <w:r w:rsidR="00F702D4" w:rsidRPr="00CC2621">
        <w:rPr>
          <w:rFonts w:ascii="Arial" w:hAnsi="Arial" w:cs="Arial"/>
          <w:sz w:val="22"/>
        </w:rPr>
        <w:t xml:space="preserve"> cette prestation est attendue :</w:t>
      </w:r>
    </w:p>
    <w:p w14:paraId="1D66EC39" w14:textId="3775F9AA" w:rsidR="00636B4F" w:rsidRPr="00CC2621" w:rsidRDefault="00636B4F" w:rsidP="00054B2A">
      <w:pPr>
        <w:pStyle w:val="Paragraphedeliste"/>
        <w:numPr>
          <w:ilvl w:val="0"/>
          <w:numId w:val="12"/>
        </w:numPr>
        <w:rPr>
          <w:rFonts w:ascii="Arial" w:hAnsi="Arial" w:cs="Arial"/>
          <w:sz w:val="22"/>
        </w:rPr>
      </w:pPr>
      <w:r w:rsidRPr="00CC2621">
        <w:rPr>
          <w:rFonts w:ascii="Arial" w:hAnsi="Arial" w:cs="Arial"/>
          <w:sz w:val="22"/>
        </w:rPr>
        <w:t>Un manuel des procédures et des modalités à suivre pour une budgétisation accès sur les résultats pour MEDD au niveau central et régional diffusé dans le MEDD au niveau central et régional</w:t>
      </w:r>
    </w:p>
    <w:p w14:paraId="2BEC2F99" w14:textId="57465CCF" w:rsidR="00F743A4" w:rsidRPr="00CC2621" w:rsidRDefault="00D90E91" w:rsidP="00054B2A">
      <w:pPr>
        <w:pStyle w:val="Paragraphedeliste"/>
        <w:numPr>
          <w:ilvl w:val="0"/>
          <w:numId w:val="12"/>
        </w:numPr>
        <w:rPr>
          <w:rFonts w:ascii="Arial" w:hAnsi="Arial" w:cs="Arial"/>
          <w:sz w:val="22"/>
        </w:rPr>
      </w:pPr>
      <w:r w:rsidRPr="00CC2621">
        <w:rPr>
          <w:rFonts w:ascii="Arial" w:hAnsi="Arial" w:cs="Arial"/>
          <w:sz w:val="22"/>
        </w:rPr>
        <w:t>Au moins 4 modules de formations sont développés et prodigués aux techniciens du MEDD</w:t>
      </w:r>
      <w:r w:rsidR="00131BBE" w:rsidRPr="00CC2621">
        <w:rPr>
          <w:rFonts w:ascii="Arial" w:hAnsi="Arial" w:cs="Arial"/>
          <w:sz w:val="22"/>
        </w:rPr>
        <w:t xml:space="preserve"> sur la budgétisation basée sur les Résultats</w:t>
      </w:r>
    </w:p>
    <w:p w14:paraId="04B89CBE" w14:textId="43F7C779" w:rsidR="00D90E91" w:rsidRPr="00CC2621" w:rsidRDefault="00D90E91" w:rsidP="00054B2A">
      <w:pPr>
        <w:pStyle w:val="Paragraphedeliste"/>
        <w:numPr>
          <w:ilvl w:val="0"/>
          <w:numId w:val="12"/>
        </w:numPr>
        <w:rPr>
          <w:rFonts w:ascii="Arial" w:hAnsi="Arial" w:cs="Arial"/>
          <w:sz w:val="22"/>
        </w:rPr>
      </w:pPr>
      <w:r w:rsidRPr="00CC2621">
        <w:rPr>
          <w:rFonts w:ascii="Arial" w:hAnsi="Arial" w:cs="Arial"/>
          <w:sz w:val="22"/>
        </w:rPr>
        <w:lastRenderedPageBreak/>
        <w:t>La capacité d</w:t>
      </w:r>
      <w:r w:rsidR="00636B4F" w:rsidRPr="00CC2621">
        <w:rPr>
          <w:rFonts w:ascii="Arial" w:hAnsi="Arial" w:cs="Arial"/>
          <w:sz w:val="22"/>
        </w:rPr>
        <w:t>’au moins 400 membre</w:t>
      </w:r>
      <w:r w:rsidR="008E19C4" w:rsidRPr="00CC2621">
        <w:rPr>
          <w:rFonts w:ascii="Arial" w:hAnsi="Arial" w:cs="Arial"/>
          <w:sz w:val="22"/>
        </w:rPr>
        <w:t>s</w:t>
      </w:r>
      <w:r w:rsidR="00636B4F" w:rsidRPr="00CC2621">
        <w:rPr>
          <w:rFonts w:ascii="Arial" w:hAnsi="Arial" w:cs="Arial"/>
          <w:sz w:val="22"/>
        </w:rPr>
        <w:t xml:space="preserve"> du personnel de </w:t>
      </w:r>
      <w:r w:rsidRPr="00CC2621">
        <w:rPr>
          <w:rFonts w:ascii="Arial" w:hAnsi="Arial" w:cs="Arial"/>
          <w:sz w:val="22"/>
        </w:rPr>
        <w:t>MEDD pour l’élaboration du budget est renforcé</w:t>
      </w:r>
      <w:r w:rsidR="00E919FC" w:rsidRPr="00CC2621">
        <w:rPr>
          <w:rFonts w:ascii="Arial" w:hAnsi="Arial" w:cs="Arial"/>
          <w:sz w:val="22"/>
        </w:rPr>
        <w:t xml:space="preserve"> au niveau central et </w:t>
      </w:r>
      <w:r w:rsidR="00636B4F" w:rsidRPr="00CC2621">
        <w:rPr>
          <w:rFonts w:ascii="Arial" w:hAnsi="Arial" w:cs="Arial"/>
          <w:sz w:val="22"/>
        </w:rPr>
        <w:t>régional</w:t>
      </w:r>
    </w:p>
    <w:p w14:paraId="2E01244C" w14:textId="0DD607E1" w:rsidR="00D90E91" w:rsidRPr="00CC2621" w:rsidRDefault="00D90E91" w:rsidP="00054B2A">
      <w:pPr>
        <w:pStyle w:val="Paragraphedeliste"/>
        <w:numPr>
          <w:ilvl w:val="0"/>
          <w:numId w:val="12"/>
        </w:numPr>
        <w:rPr>
          <w:rFonts w:ascii="Arial" w:hAnsi="Arial" w:cs="Arial"/>
          <w:sz w:val="22"/>
        </w:rPr>
      </w:pPr>
      <w:r w:rsidRPr="00CC2621">
        <w:rPr>
          <w:rFonts w:ascii="Arial" w:hAnsi="Arial" w:cs="Arial"/>
          <w:sz w:val="22"/>
        </w:rPr>
        <w:t>La capacité du département de planification et suivi du MEDD est renforcée</w:t>
      </w:r>
    </w:p>
    <w:p w14:paraId="444F627F" w14:textId="579D8C29" w:rsidR="00F702D4" w:rsidRPr="00CC2621" w:rsidRDefault="00D90E91" w:rsidP="00054B2A">
      <w:pPr>
        <w:pStyle w:val="Paragraphedeliste"/>
        <w:numPr>
          <w:ilvl w:val="0"/>
          <w:numId w:val="12"/>
        </w:numPr>
        <w:rPr>
          <w:rFonts w:ascii="Arial" w:hAnsi="Arial" w:cs="Arial"/>
          <w:sz w:val="22"/>
        </w:rPr>
      </w:pPr>
      <w:r w:rsidRPr="00CC2621">
        <w:rPr>
          <w:rFonts w:ascii="Arial" w:hAnsi="Arial" w:cs="Arial"/>
          <w:sz w:val="22"/>
        </w:rPr>
        <w:t>Le budget du MEDD est élaboré selon la méthodologie RBB</w:t>
      </w:r>
    </w:p>
    <w:p w14:paraId="0CFD75F2" w14:textId="77777777" w:rsidR="00F702D4" w:rsidRPr="00CC2621" w:rsidRDefault="00F702D4" w:rsidP="00F702D4">
      <w:pPr>
        <w:rPr>
          <w:rFonts w:ascii="Arial" w:hAnsi="Arial" w:cs="Arial"/>
          <w:sz w:val="22"/>
        </w:rPr>
      </w:pPr>
      <w:r w:rsidRPr="00CC2621">
        <w:rPr>
          <w:rFonts w:ascii="Arial" w:hAnsi="Arial" w:cs="Arial"/>
          <w:sz w:val="22"/>
        </w:rPr>
        <w:t xml:space="preserve">Ces résultats seront livrés par le prestataire sous forme de </w:t>
      </w:r>
      <w:r w:rsidR="00453762" w:rsidRPr="00CC2621">
        <w:rPr>
          <w:rFonts w:ascii="Arial" w:hAnsi="Arial" w:cs="Arial"/>
          <w:sz w:val="22"/>
        </w:rPr>
        <w:t>2</w:t>
      </w:r>
      <w:r w:rsidRPr="00CC2621">
        <w:rPr>
          <w:rFonts w:ascii="Arial" w:hAnsi="Arial" w:cs="Arial"/>
          <w:sz w:val="22"/>
        </w:rPr>
        <w:t xml:space="preserve"> livrables qui sont :</w:t>
      </w:r>
    </w:p>
    <w:p w14:paraId="72A26CD9" w14:textId="71AA3565" w:rsidR="00F702D4" w:rsidRPr="00CC2621" w:rsidRDefault="00F702D4" w:rsidP="00F702D4">
      <w:pPr>
        <w:pStyle w:val="Paragraphedeliste"/>
        <w:numPr>
          <w:ilvl w:val="0"/>
          <w:numId w:val="6"/>
        </w:numPr>
        <w:rPr>
          <w:rFonts w:ascii="Arial" w:hAnsi="Arial" w:cs="Arial"/>
          <w:sz w:val="22"/>
        </w:rPr>
      </w:pPr>
      <w:r w:rsidRPr="00CC2621">
        <w:rPr>
          <w:rFonts w:ascii="Arial" w:hAnsi="Arial" w:cs="Arial"/>
          <w:sz w:val="22"/>
        </w:rPr>
        <w:t xml:space="preserve">Un rapport </w:t>
      </w:r>
      <w:r w:rsidR="00D90E91" w:rsidRPr="00CC2621">
        <w:rPr>
          <w:rFonts w:ascii="Arial" w:hAnsi="Arial" w:cs="Arial"/>
          <w:sz w:val="22"/>
        </w:rPr>
        <w:t xml:space="preserve">de démarrage du projet de renforcement de capacité incluant le plan d’intervention du groupe de consultant </w:t>
      </w:r>
    </w:p>
    <w:p w14:paraId="67FC9EA4" w14:textId="34004569" w:rsidR="00E919FC" w:rsidRPr="00CC2621" w:rsidRDefault="00E919FC" w:rsidP="00F702D4">
      <w:pPr>
        <w:pStyle w:val="Paragraphedeliste"/>
        <w:numPr>
          <w:ilvl w:val="0"/>
          <w:numId w:val="6"/>
        </w:numPr>
        <w:rPr>
          <w:rFonts w:ascii="Arial" w:hAnsi="Arial" w:cs="Arial"/>
          <w:sz w:val="22"/>
        </w:rPr>
      </w:pPr>
      <w:r w:rsidRPr="00CC2621">
        <w:rPr>
          <w:rFonts w:ascii="Arial" w:hAnsi="Arial" w:cs="Arial"/>
          <w:sz w:val="22"/>
        </w:rPr>
        <w:t xml:space="preserve">Un rapport </w:t>
      </w:r>
      <w:r w:rsidR="00131BBE" w:rsidRPr="00CC2621">
        <w:rPr>
          <w:rFonts w:ascii="Arial" w:hAnsi="Arial" w:cs="Arial"/>
          <w:sz w:val="22"/>
        </w:rPr>
        <w:t>présentant</w:t>
      </w:r>
      <w:r w:rsidRPr="00CC2621">
        <w:rPr>
          <w:rFonts w:ascii="Arial" w:hAnsi="Arial" w:cs="Arial"/>
          <w:sz w:val="22"/>
        </w:rPr>
        <w:t xml:space="preserve"> les bonnes pratiques au niveau international, un </w:t>
      </w:r>
      <w:r w:rsidR="00131BBE" w:rsidRPr="00CC2621">
        <w:rPr>
          <w:rFonts w:ascii="Arial" w:hAnsi="Arial" w:cs="Arial"/>
          <w:sz w:val="22"/>
        </w:rPr>
        <w:t>état</w:t>
      </w:r>
      <w:r w:rsidRPr="00CC2621">
        <w:rPr>
          <w:rFonts w:ascii="Arial" w:hAnsi="Arial" w:cs="Arial"/>
          <w:sz w:val="22"/>
        </w:rPr>
        <w:t xml:space="preserve"> des lieux de la </w:t>
      </w:r>
      <w:r w:rsidR="00131BBE" w:rsidRPr="00CC2621">
        <w:rPr>
          <w:rFonts w:ascii="Arial" w:hAnsi="Arial" w:cs="Arial"/>
          <w:sz w:val="22"/>
        </w:rPr>
        <w:t>budgétisation</w:t>
      </w:r>
      <w:r w:rsidRPr="00CC2621">
        <w:rPr>
          <w:rFonts w:ascii="Arial" w:hAnsi="Arial" w:cs="Arial"/>
          <w:sz w:val="22"/>
        </w:rPr>
        <w:t xml:space="preserve"> au sein du MEED au niveau central et </w:t>
      </w:r>
      <w:r w:rsidR="00131BBE" w:rsidRPr="00CC2621">
        <w:rPr>
          <w:rFonts w:ascii="Arial" w:hAnsi="Arial" w:cs="Arial"/>
          <w:sz w:val="22"/>
        </w:rPr>
        <w:t>régional</w:t>
      </w:r>
      <w:r w:rsidRPr="00CC2621">
        <w:rPr>
          <w:rFonts w:ascii="Arial" w:hAnsi="Arial" w:cs="Arial"/>
          <w:sz w:val="22"/>
        </w:rPr>
        <w:t xml:space="preserve">, des </w:t>
      </w:r>
      <w:r w:rsidR="00131BBE" w:rsidRPr="00CC2621">
        <w:rPr>
          <w:rFonts w:ascii="Arial" w:hAnsi="Arial" w:cs="Arial"/>
          <w:sz w:val="22"/>
        </w:rPr>
        <w:t>recommandations</w:t>
      </w:r>
      <w:r w:rsidRPr="00CC2621">
        <w:rPr>
          <w:rFonts w:ascii="Arial" w:hAnsi="Arial" w:cs="Arial"/>
          <w:sz w:val="22"/>
        </w:rPr>
        <w:t xml:space="preserve"> et une feuille de route </w:t>
      </w:r>
    </w:p>
    <w:p w14:paraId="664EDB87" w14:textId="416C1255" w:rsidR="00636B4F" w:rsidRPr="00CC2621" w:rsidRDefault="00636B4F" w:rsidP="00F702D4">
      <w:pPr>
        <w:pStyle w:val="Paragraphedeliste"/>
        <w:numPr>
          <w:ilvl w:val="0"/>
          <w:numId w:val="6"/>
        </w:numPr>
        <w:rPr>
          <w:rFonts w:ascii="Arial" w:hAnsi="Arial" w:cs="Arial"/>
          <w:sz w:val="22"/>
        </w:rPr>
      </w:pPr>
      <w:r w:rsidRPr="00CC2621">
        <w:rPr>
          <w:rFonts w:ascii="Arial" w:hAnsi="Arial" w:cs="Arial"/>
          <w:sz w:val="22"/>
        </w:rPr>
        <w:t xml:space="preserve">Un manuel des procédures et des modalités à suivre pour une budgétisation accès sur les résultats pour MEDD au niveau central et régional </w:t>
      </w:r>
    </w:p>
    <w:p w14:paraId="3707DF41" w14:textId="6669C8DB" w:rsidR="00131BBE" w:rsidRPr="00CC2621" w:rsidRDefault="00131BBE" w:rsidP="00F702D4">
      <w:pPr>
        <w:pStyle w:val="Paragraphedeliste"/>
        <w:numPr>
          <w:ilvl w:val="0"/>
          <w:numId w:val="6"/>
        </w:numPr>
        <w:rPr>
          <w:rFonts w:ascii="Arial" w:hAnsi="Arial" w:cs="Arial"/>
          <w:sz w:val="22"/>
        </w:rPr>
      </w:pPr>
      <w:r w:rsidRPr="00CC2621">
        <w:rPr>
          <w:rFonts w:ascii="Arial" w:hAnsi="Arial" w:cs="Arial"/>
          <w:sz w:val="22"/>
        </w:rPr>
        <w:t xml:space="preserve">Un rapport présentant les besoins en renforcement des capacités au niveau central et régional, un programme de formation et les modules de formations appropriés  </w:t>
      </w:r>
    </w:p>
    <w:p w14:paraId="5C36B9EA" w14:textId="2ECFE79E" w:rsidR="00453762" w:rsidRPr="00CC2621" w:rsidRDefault="00D90E91" w:rsidP="00453762">
      <w:pPr>
        <w:pStyle w:val="Paragraphedeliste"/>
        <w:numPr>
          <w:ilvl w:val="0"/>
          <w:numId w:val="6"/>
        </w:numPr>
        <w:rPr>
          <w:rFonts w:ascii="Arial" w:hAnsi="Arial" w:cs="Arial"/>
          <w:sz w:val="22"/>
        </w:rPr>
      </w:pPr>
      <w:r w:rsidRPr="00CC2621">
        <w:rPr>
          <w:rFonts w:ascii="Arial" w:hAnsi="Arial" w:cs="Arial"/>
          <w:sz w:val="22"/>
        </w:rPr>
        <w:t>Des rapports des ateliers de renforcement de capacité</w:t>
      </w:r>
      <w:r w:rsidR="00131BBE" w:rsidRPr="00CC2621">
        <w:rPr>
          <w:rFonts w:ascii="Arial" w:hAnsi="Arial" w:cs="Arial"/>
          <w:sz w:val="22"/>
        </w:rPr>
        <w:t xml:space="preserve"> réalisés</w:t>
      </w:r>
    </w:p>
    <w:p w14:paraId="32779B22" w14:textId="13AC4932" w:rsidR="00D90E91" w:rsidRPr="00CC2621" w:rsidRDefault="00131BBE" w:rsidP="00453762">
      <w:pPr>
        <w:pStyle w:val="Paragraphedeliste"/>
        <w:numPr>
          <w:ilvl w:val="0"/>
          <w:numId w:val="6"/>
        </w:numPr>
        <w:rPr>
          <w:rFonts w:ascii="Arial" w:hAnsi="Arial" w:cs="Arial"/>
          <w:sz w:val="22"/>
        </w:rPr>
      </w:pPr>
      <w:r w:rsidRPr="00CC2621">
        <w:rPr>
          <w:rFonts w:ascii="Arial" w:hAnsi="Arial" w:cs="Arial"/>
          <w:sz w:val="22"/>
        </w:rPr>
        <w:t xml:space="preserve">Le budget de 2023 du MEDD basé sur une budgétisation basée sur les résultats </w:t>
      </w:r>
    </w:p>
    <w:p w14:paraId="7F0EDCE3" w14:textId="5380CDA4" w:rsidR="00D90E91" w:rsidRPr="00CC2621" w:rsidRDefault="00D90E91" w:rsidP="00453762">
      <w:pPr>
        <w:pStyle w:val="Paragraphedeliste"/>
        <w:numPr>
          <w:ilvl w:val="0"/>
          <w:numId w:val="6"/>
        </w:numPr>
        <w:rPr>
          <w:rFonts w:ascii="Arial" w:hAnsi="Arial" w:cs="Arial"/>
          <w:sz w:val="22"/>
        </w:rPr>
      </w:pPr>
      <w:r w:rsidRPr="00CC2621">
        <w:rPr>
          <w:rFonts w:ascii="Arial" w:hAnsi="Arial" w:cs="Arial"/>
          <w:sz w:val="22"/>
        </w:rPr>
        <w:t>Un rapport final à la fin de la prestation incluant</w:t>
      </w:r>
      <w:r w:rsidR="00131BBE" w:rsidRPr="00CC2621">
        <w:rPr>
          <w:rFonts w:ascii="Arial" w:hAnsi="Arial" w:cs="Arial"/>
          <w:sz w:val="22"/>
        </w:rPr>
        <w:t xml:space="preserve"> toutes </w:t>
      </w:r>
      <w:r w:rsidRPr="00CC2621">
        <w:rPr>
          <w:rFonts w:ascii="Arial" w:hAnsi="Arial" w:cs="Arial"/>
          <w:sz w:val="22"/>
        </w:rPr>
        <w:t>les activités réalisées et les recommandations nécessaire à la durabilité du processus.</w:t>
      </w:r>
    </w:p>
    <w:p w14:paraId="3A87343A" w14:textId="77777777" w:rsidR="00453762" w:rsidRPr="00CC2621" w:rsidRDefault="00453762" w:rsidP="00453762">
      <w:pPr>
        <w:pStyle w:val="Paragraphedeliste"/>
        <w:rPr>
          <w:rFonts w:ascii="Arial" w:hAnsi="Arial" w:cs="Arial"/>
          <w:sz w:val="22"/>
        </w:rPr>
      </w:pPr>
    </w:p>
    <w:p w14:paraId="6FEB7653" w14:textId="77777777" w:rsidR="00F702D4" w:rsidRPr="00CC2621" w:rsidRDefault="00F702D4" w:rsidP="00453762">
      <w:pPr>
        <w:pStyle w:val="Paragraphedeliste"/>
        <w:rPr>
          <w:rFonts w:ascii="Arial" w:hAnsi="Arial" w:cs="Arial"/>
          <w:sz w:val="22"/>
        </w:rPr>
      </w:pPr>
    </w:p>
    <w:p w14:paraId="37274584" w14:textId="77777777" w:rsidR="00453762" w:rsidRPr="00CC2621" w:rsidRDefault="00453762" w:rsidP="00737259">
      <w:pPr>
        <w:pStyle w:val="Titre1"/>
        <w:rPr>
          <w:sz w:val="22"/>
          <w:szCs w:val="22"/>
        </w:rPr>
      </w:pPr>
      <w:r w:rsidRPr="00CC2621">
        <w:rPr>
          <w:sz w:val="22"/>
          <w:szCs w:val="22"/>
        </w:rPr>
        <w:t>Calendrier prévisionnel</w:t>
      </w:r>
    </w:p>
    <w:p w14:paraId="78A29A10" w14:textId="63E25E1E" w:rsidR="00453762" w:rsidRPr="00CC2621" w:rsidRDefault="00453762" w:rsidP="00453762">
      <w:pPr>
        <w:rPr>
          <w:rFonts w:ascii="Arial" w:hAnsi="Arial" w:cs="Arial"/>
          <w:sz w:val="22"/>
        </w:rPr>
      </w:pPr>
      <w:r w:rsidRPr="00CC2621">
        <w:rPr>
          <w:rFonts w:ascii="Arial" w:hAnsi="Arial" w:cs="Arial"/>
          <w:sz w:val="22"/>
        </w:rPr>
        <w:t xml:space="preserve">Durée de la prestation : </w:t>
      </w:r>
      <w:r w:rsidR="00D90E91" w:rsidRPr="00CC2621">
        <w:rPr>
          <w:rFonts w:ascii="Arial" w:hAnsi="Arial" w:cs="Arial"/>
          <w:sz w:val="22"/>
        </w:rPr>
        <w:t>350</w:t>
      </w:r>
      <w:r w:rsidRPr="00CC2621">
        <w:rPr>
          <w:rFonts w:ascii="Arial" w:hAnsi="Arial" w:cs="Arial"/>
          <w:sz w:val="22"/>
        </w:rPr>
        <w:t xml:space="preserve"> HJ au sur une période de </w:t>
      </w:r>
      <w:r w:rsidR="00D90E91" w:rsidRPr="00CC2621">
        <w:rPr>
          <w:rFonts w:ascii="Arial" w:hAnsi="Arial" w:cs="Arial"/>
          <w:sz w:val="22"/>
        </w:rPr>
        <w:t>15</w:t>
      </w:r>
      <w:r w:rsidRPr="00CC2621">
        <w:rPr>
          <w:rFonts w:ascii="Arial" w:hAnsi="Arial" w:cs="Arial"/>
          <w:sz w:val="22"/>
        </w:rPr>
        <w:t xml:space="preserve"> mois.</w:t>
      </w:r>
    </w:p>
    <w:p w14:paraId="10FD5219" w14:textId="00BB0093" w:rsidR="00453762" w:rsidRPr="00CC2621" w:rsidRDefault="00453762" w:rsidP="00453762">
      <w:pPr>
        <w:rPr>
          <w:rFonts w:ascii="Arial" w:hAnsi="Arial" w:cs="Arial"/>
          <w:sz w:val="22"/>
        </w:rPr>
      </w:pPr>
      <w:r w:rsidRPr="00CC2621">
        <w:rPr>
          <w:rFonts w:ascii="Arial" w:hAnsi="Arial" w:cs="Arial"/>
          <w:sz w:val="22"/>
        </w:rPr>
        <w:t xml:space="preserve">La prestation est prévue commencer le mois </w:t>
      </w:r>
      <w:r w:rsidR="008E19C4" w:rsidRPr="00CC2621">
        <w:rPr>
          <w:rFonts w:ascii="Arial" w:hAnsi="Arial" w:cs="Arial"/>
          <w:sz w:val="22"/>
        </w:rPr>
        <w:t>octobre</w:t>
      </w:r>
      <w:r w:rsidRPr="00CC2621">
        <w:rPr>
          <w:rFonts w:ascii="Arial" w:hAnsi="Arial" w:cs="Arial"/>
          <w:sz w:val="22"/>
        </w:rPr>
        <w:t xml:space="preserve"> 202</w:t>
      </w:r>
      <w:r w:rsidR="00131BBE" w:rsidRPr="00CC2621">
        <w:rPr>
          <w:rFonts w:ascii="Arial" w:hAnsi="Arial" w:cs="Arial"/>
          <w:sz w:val="22"/>
        </w:rPr>
        <w:t>1</w:t>
      </w:r>
      <w:r w:rsidR="008E19C4" w:rsidRPr="00CC2621">
        <w:rPr>
          <w:rFonts w:ascii="Arial" w:hAnsi="Arial" w:cs="Arial"/>
          <w:sz w:val="22"/>
        </w:rPr>
        <w:t>.</w:t>
      </w:r>
    </w:p>
    <w:p w14:paraId="61434D57" w14:textId="77777777" w:rsidR="00453762" w:rsidRPr="00CC2621" w:rsidRDefault="00453762" w:rsidP="00F702D4">
      <w:pPr>
        <w:rPr>
          <w:rFonts w:ascii="Arial" w:hAnsi="Arial" w:cs="Arial"/>
          <w:sz w:val="22"/>
        </w:rPr>
      </w:pPr>
    </w:p>
    <w:p w14:paraId="6DFAEEA6" w14:textId="13F07FCA" w:rsidR="00453762" w:rsidRPr="00CC2621" w:rsidRDefault="00453762" w:rsidP="00737259">
      <w:pPr>
        <w:pStyle w:val="Titre1"/>
        <w:rPr>
          <w:sz w:val="22"/>
          <w:szCs w:val="22"/>
        </w:rPr>
      </w:pPr>
      <w:r w:rsidRPr="00CC2621">
        <w:rPr>
          <w:sz w:val="22"/>
          <w:szCs w:val="22"/>
        </w:rPr>
        <w:t>Qualifications requises</w:t>
      </w:r>
    </w:p>
    <w:p w14:paraId="2DD21E6D" w14:textId="518493BC" w:rsidR="00131BBE" w:rsidRPr="00CC2621" w:rsidRDefault="00131BBE" w:rsidP="00131BBE">
      <w:pPr>
        <w:rPr>
          <w:rFonts w:ascii="Arial" w:hAnsi="Arial" w:cs="Arial"/>
          <w:iCs/>
          <w:sz w:val="22"/>
        </w:rPr>
      </w:pPr>
      <w:r w:rsidRPr="00CC2621">
        <w:rPr>
          <w:rFonts w:ascii="Arial" w:hAnsi="Arial" w:cs="Arial"/>
          <w:iCs/>
          <w:sz w:val="22"/>
        </w:rPr>
        <w:t>Le cabinet pour cette mission doit démontrer une vaste expérience sur des missions antérieures de nature similaire, en indiquant les noms des clients, la nature et l'étendue du travail, les coordonnées du client, le personnel impliqué et la valeur du contrat. En outre, l'entreprise/l'équipe doit posséder une expertise dans tous les domaines associ</w:t>
      </w:r>
      <w:r w:rsidR="006B00EC" w:rsidRPr="00CC2621">
        <w:rPr>
          <w:rFonts w:ascii="Arial" w:hAnsi="Arial" w:cs="Arial"/>
          <w:iCs/>
          <w:sz w:val="22"/>
        </w:rPr>
        <w:t>és à cette mission, y compris l’analyse des besoins en renforcement des capacités, en</w:t>
      </w:r>
      <w:r w:rsidRPr="00CC2621">
        <w:rPr>
          <w:rFonts w:ascii="Arial" w:hAnsi="Arial" w:cs="Arial"/>
          <w:iCs/>
          <w:sz w:val="22"/>
        </w:rPr>
        <w:t xml:space="preserve"> formation à la budgétisation axée sur les résultats,</w:t>
      </w:r>
      <w:r w:rsidR="006B00EC" w:rsidRPr="00CC2621">
        <w:rPr>
          <w:rFonts w:ascii="Arial" w:hAnsi="Arial" w:cs="Arial"/>
          <w:iCs/>
          <w:sz w:val="22"/>
        </w:rPr>
        <w:t xml:space="preserve"> à</w:t>
      </w:r>
      <w:r w:rsidRPr="00CC2621">
        <w:rPr>
          <w:rFonts w:ascii="Arial" w:hAnsi="Arial" w:cs="Arial"/>
          <w:iCs/>
          <w:sz w:val="22"/>
        </w:rPr>
        <w:t xml:space="preserve"> l'élaboration de module de formation</w:t>
      </w:r>
      <w:r w:rsidR="006B00EC" w:rsidRPr="00CC2621">
        <w:rPr>
          <w:rFonts w:ascii="Arial" w:hAnsi="Arial" w:cs="Arial"/>
          <w:iCs/>
          <w:sz w:val="22"/>
        </w:rPr>
        <w:t xml:space="preserve"> et </w:t>
      </w:r>
      <w:r w:rsidRPr="00CC2621">
        <w:rPr>
          <w:rFonts w:ascii="Arial" w:hAnsi="Arial" w:cs="Arial"/>
          <w:iCs/>
          <w:sz w:val="22"/>
        </w:rPr>
        <w:t xml:space="preserve">de </w:t>
      </w:r>
      <w:r w:rsidR="006B00EC" w:rsidRPr="00CC2621">
        <w:rPr>
          <w:rFonts w:ascii="Arial" w:hAnsi="Arial" w:cs="Arial"/>
          <w:iCs/>
          <w:sz w:val="22"/>
        </w:rPr>
        <w:t>feuille de route, etc.</w:t>
      </w:r>
    </w:p>
    <w:p w14:paraId="70E5F97C" w14:textId="77777777" w:rsidR="00131BBE" w:rsidRPr="00CC2621" w:rsidRDefault="00131BBE" w:rsidP="00131BBE">
      <w:pPr>
        <w:rPr>
          <w:rFonts w:ascii="Arial" w:hAnsi="Arial" w:cs="Arial"/>
          <w:b/>
          <w:i/>
          <w:iCs/>
          <w:sz w:val="22"/>
        </w:rPr>
      </w:pPr>
    </w:p>
    <w:p w14:paraId="41A10B99" w14:textId="77777777" w:rsidR="00131BBE" w:rsidRPr="00CC2621" w:rsidRDefault="00131BBE" w:rsidP="00131BBE">
      <w:pPr>
        <w:rPr>
          <w:rFonts w:ascii="Arial" w:hAnsi="Arial" w:cs="Arial"/>
          <w:iCs/>
          <w:sz w:val="22"/>
        </w:rPr>
      </w:pPr>
      <w:r w:rsidRPr="00CC2621">
        <w:rPr>
          <w:rFonts w:ascii="Arial" w:hAnsi="Arial" w:cs="Arial"/>
          <w:b/>
          <w:iCs/>
          <w:sz w:val="22"/>
        </w:rPr>
        <w:lastRenderedPageBreak/>
        <w:t xml:space="preserve">Consultant principal </w:t>
      </w:r>
      <w:r w:rsidRPr="00CC2621">
        <w:rPr>
          <w:rFonts w:ascii="Arial" w:hAnsi="Arial" w:cs="Arial"/>
          <w:iCs/>
          <w:sz w:val="22"/>
        </w:rPr>
        <w:t>- Il devrait y avoir un chef d'équipe qui sera responsable de la gestion globale de la mission, de l'assurance qualité de la mission et de la soumission de tous les livrables sous forme électronique et papier.</w:t>
      </w:r>
    </w:p>
    <w:p w14:paraId="5A46C8AB" w14:textId="51C7A213" w:rsidR="00131BBE" w:rsidRPr="00CC2621" w:rsidRDefault="00131BBE" w:rsidP="00131BBE">
      <w:pPr>
        <w:rPr>
          <w:rFonts w:ascii="Arial" w:hAnsi="Arial" w:cs="Arial"/>
          <w:iCs/>
          <w:sz w:val="22"/>
        </w:rPr>
      </w:pPr>
      <w:r w:rsidRPr="00CC2621">
        <w:rPr>
          <w:rFonts w:ascii="Arial" w:hAnsi="Arial" w:cs="Arial"/>
          <w:b/>
          <w:iCs/>
          <w:sz w:val="22"/>
        </w:rPr>
        <w:t>Qualification</w:t>
      </w:r>
      <w:r w:rsidR="008E19C4" w:rsidRPr="00CC2621">
        <w:rPr>
          <w:rFonts w:ascii="Arial" w:hAnsi="Arial" w:cs="Arial"/>
          <w:b/>
          <w:iCs/>
          <w:sz w:val="22"/>
        </w:rPr>
        <w:t> :</w:t>
      </w:r>
      <w:r w:rsidRPr="00CC2621">
        <w:rPr>
          <w:rFonts w:ascii="Arial" w:hAnsi="Arial" w:cs="Arial"/>
          <w:iCs/>
          <w:sz w:val="22"/>
        </w:rPr>
        <w:t xml:space="preserve"> Le chef d'équipe doit avoir au minimum une maîtrise en économie de l'environnement, en sciences sociales telles que l'économie, l'économie du développement, les finances publiques ou tout au</w:t>
      </w:r>
      <w:r w:rsidR="006B00EC" w:rsidRPr="00CC2621">
        <w:rPr>
          <w:rFonts w:ascii="Arial" w:hAnsi="Arial" w:cs="Arial"/>
          <w:iCs/>
          <w:sz w:val="22"/>
        </w:rPr>
        <w:t>tre domaine d'études pertinent.</w:t>
      </w:r>
      <w:r w:rsidR="006B00EC" w:rsidRPr="00CC2621">
        <w:rPr>
          <w:rFonts w:ascii="Arial" w:hAnsi="Arial" w:cs="Arial"/>
          <w:b/>
          <w:i/>
          <w:iCs/>
          <w:sz w:val="22"/>
        </w:rPr>
        <w:t xml:space="preserve"> </w:t>
      </w:r>
      <w:r w:rsidR="006B00EC" w:rsidRPr="00CC2621">
        <w:rPr>
          <w:rFonts w:ascii="Arial" w:hAnsi="Arial" w:cs="Arial"/>
          <w:iCs/>
          <w:sz w:val="22"/>
        </w:rPr>
        <w:t>Doit a</w:t>
      </w:r>
      <w:r w:rsidR="00000471" w:rsidRPr="00CC2621">
        <w:rPr>
          <w:rFonts w:ascii="Arial" w:hAnsi="Arial" w:cs="Arial"/>
          <w:iCs/>
          <w:sz w:val="22"/>
        </w:rPr>
        <w:t>voir au moins cinq (7</w:t>
      </w:r>
      <w:r w:rsidR="006B00EC" w:rsidRPr="00CC2621">
        <w:rPr>
          <w:rFonts w:ascii="Arial" w:hAnsi="Arial" w:cs="Arial"/>
          <w:iCs/>
          <w:sz w:val="22"/>
        </w:rPr>
        <w:t>) an</w:t>
      </w:r>
      <w:r w:rsidR="00000471" w:rsidRPr="00CC2621">
        <w:rPr>
          <w:rFonts w:ascii="Arial" w:hAnsi="Arial" w:cs="Arial"/>
          <w:iCs/>
          <w:sz w:val="22"/>
        </w:rPr>
        <w:t xml:space="preserve">s d'expérience sur </w:t>
      </w:r>
      <w:r w:rsidR="006B00EC" w:rsidRPr="00CC2621">
        <w:rPr>
          <w:rFonts w:ascii="Arial" w:hAnsi="Arial" w:cs="Arial"/>
          <w:iCs/>
          <w:sz w:val="22"/>
        </w:rPr>
        <w:t>l'analyse</w:t>
      </w:r>
      <w:r w:rsidR="00000471" w:rsidRPr="00CC2621">
        <w:rPr>
          <w:rFonts w:ascii="Arial" w:hAnsi="Arial" w:cs="Arial"/>
          <w:iCs/>
          <w:sz w:val="22"/>
        </w:rPr>
        <w:t xml:space="preserve"> et l'élaboration de politiques et la formation </w:t>
      </w:r>
      <w:r w:rsidR="006B00EC" w:rsidRPr="00CC2621">
        <w:rPr>
          <w:rFonts w:ascii="Arial" w:hAnsi="Arial" w:cs="Arial"/>
          <w:iCs/>
          <w:sz w:val="22"/>
        </w:rPr>
        <w:t>en particulier sur la budgétisation axée sur les résultats (RBB) pour le secteur de l’Environ</w:t>
      </w:r>
      <w:r w:rsidR="00000471" w:rsidRPr="00CC2621">
        <w:rPr>
          <w:rFonts w:ascii="Arial" w:hAnsi="Arial" w:cs="Arial"/>
          <w:iCs/>
          <w:sz w:val="22"/>
        </w:rPr>
        <w:t>ne</w:t>
      </w:r>
      <w:r w:rsidR="006B00EC" w:rsidRPr="00CC2621">
        <w:rPr>
          <w:rFonts w:ascii="Arial" w:hAnsi="Arial" w:cs="Arial"/>
          <w:iCs/>
          <w:sz w:val="22"/>
        </w:rPr>
        <w:t>ment</w:t>
      </w:r>
      <w:r w:rsidR="006B00EC" w:rsidRPr="00CC2621">
        <w:rPr>
          <w:rFonts w:ascii="Arial" w:hAnsi="Arial" w:cs="Arial"/>
          <w:b/>
          <w:i/>
          <w:iCs/>
          <w:sz w:val="22"/>
        </w:rPr>
        <w:t xml:space="preserve">, </w:t>
      </w:r>
    </w:p>
    <w:p w14:paraId="688D2B06" w14:textId="260F7E2D" w:rsidR="00131BBE" w:rsidRPr="00CC2621" w:rsidRDefault="00131BBE" w:rsidP="00131BBE">
      <w:pPr>
        <w:rPr>
          <w:rFonts w:ascii="Arial" w:hAnsi="Arial" w:cs="Arial"/>
          <w:b/>
          <w:i/>
          <w:iCs/>
          <w:sz w:val="22"/>
        </w:rPr>
      </w:pPr>
      <w:r w:rsidRPr="00CC2621">
        <w:rPr>
          <w:rFonts w:ascii="Arial" w:hAnsi="Arial" w:cs="Arial"/>
          <w:b/>
          <w:i/>
          <w:iCs/>
          <w:sz w:val="22"/>
        </w:rPr>
        <w:t xml:space="preserve"> </w:t>
      </w:r>
      <w:r w:rsidRPr="00CC2621">
        <w:rPr>
          <w:rFonts w:ascii="Arial" w:hAnsi="Arial" w:cs="Arial"/>
          <w:iCs/>
          <w:sz w:val="22"/>
        </w:rPr>
        <w:t xml:space="preserve">Expérience professionnelle : le consultant principal doit avoir une vaste expérience dans le développement des capacités et </w:t>
      </w:r>
      <w:r w:rsidR="006B00EC" w:rsidRPr="00CC2621">
        <w:rPr>
          <w:rFonts w:ascii="Arial" w:hAnsi="Arial" w:cs="Arial"/>
          <w:iCs/>
          <w:sz w:val="22"/>
        </w:rPr>
        <w:t xml:space="preserve">de </w:t>
      </w:r>
      <w:r w:rsidRPr="00CC2621">
        <w:rPr>
          <w:rFonts w:ascii="Arial" w:hAnsi="Arial" w:cs="Arial"/>
          <w:iCs/>
          <w:sz w:val="22"/>
        </w:rPr>
        <w:t>la formation en matière de budgétisation axée sur les résultats et</w:t>
      </w:r>
      <w:r w:rsidR="006B00EC" w:rsidRPr="00CC2621">
        <w:rPr>
          <w:rFonts w:ascii="Arial" w:hAnsi="Arial" w:cs="Arial"/>
          <w:iCs/>
          <w:sz w:val="22"/>
        </w:rPr>
        <w:t xml:space="preserve"> préférablement une expérience dans le domaine de l’Environnement.</w:t>
      </w:r>
      <w:r w:rsidR="006B00EC" w:rsidRPr="00CC2621">
        <w:rPr>
          <w:rFonts w:ascii="Arial" w:hAnsi="Arial" w:cs="Arial"/>
          <w:b/>
          <w:i/>
          <w:iCs/>
          <w:sz w:val="22"/>
        </w:rPr>
        <w:t xml:space="preserve"> </w:t>
      </w:r>
      <w:r w:rsidRPr="00CC2621">
        <w:rPr>
          <w:rFonts w:ascii="Arial" w:hAnsi="Arial" w:cs="Arial"/>
          <w:b/>
          <w:i/>
          <w:iCs/>
          <w:sz w:val="22"/>
        </w:rPr>
        <w:t xml:space="preserve"> </w:t>
      </w:r>
    </w:p>
    <w:p w14:paraId="0AB87C65" w14:textId="77777777" w:rsidR="00131BBE" w:rsidRPr="00CC2621" w:rsidRDefault="00131BBE" w:rsidP="00131BBE">
      <w:pPr>
        <w:rPr>
          <w:rFonts w:ascii="Arial" w:hAnsi="Arial" w:cs="Arial"/>
          <w:iCs/>
          <w:sz w:val="22"/>
        </w:rPr>
      </w:pPr>
      <w:r w:rsidRPr="00CC2621">
        <w:rPr>
          <w:rFonts w:ascii="Arial" w:hAnsi="Arial" w:cs="Arial"/>
          <w:b/>
          <w:i/>
          <w:iCs/>
          <w:sz w:val="22"/>
        </w:rPr>
        <w:t xml:space="preserve"> </w:t>
      </w:r>
      <w:r w:rsidRPr="00CC2621">
        <w:rPr>
          <w:rFonts w:ascii="Arial" w:hAnsi="Arial" w:cs="Arial"/>
          <w:iCs/>
          <w:sz w:val="22"/>
        </w:rPr>
        <w:t>Connaissances et compétences techniques : il/elle doit avoir une bonne connaissance des ODD, de l'environnement et du changement climatique ainsi que du financement de la biodiversité, et l'expertise technique en matière de budgétisation axée sur les résultats, de gestion axée sur les résultats et d'efficacité des finances publiques.</w:t>
      </w:r>
    </w:p>
    <w:p w14:paraId="6288E1CA" w14:textId="03FE4D3A" w:rsidR="00131BBE" w:rsidRPr="00CC2621" w:rsidRDefault="00131BBE" w:rsidP="00131BBE">
      <w:pPr>
        <w:rPr>
          <w:rFonts w:ascii="Arial" w:hAnsi="Arial" w:cs="Arial"/>
          <w:b/>
          <w:i/>
          <w:iCs/>
          <w:sz w:val="22"/>
        </w:rPr>
      </w:pPr>
      <w:r w:rsidRPr="00CC2621">
        <w:rPr>
          <w:rFonts w:ascii="Arial" w:hAnsi="Arial" w:cs="Arial"/>
          <w:iCs/>
          <w:sz w:val="22"/>
        </w:rPr>
        <w:t xml:space="preserve"> Le consultant principal doit avoir de bonnes compétences en rédaction de rapports, en présentation, en plaidoyer et en communication, </w:t>
      </w:r>
    </w:p>
    <w:p w14:paraId="566DCB8A" w14:textId="72A18B77" w:rsidR="006B00EC" w:rsidRPr="00CC2621" w:rsidRDefault="006B00EC" w:rsidP="00131BBE">
      <w:pPr>
        <w:rPr>
          <w:rFonts w:ascii="Arial" w:hAnsi="Arial" w:cs="Arial"/>
          <w:b/>
          <w:iCs/>
          <w:sz w:val="22"/>
        </w:rPr>
      </w:pPr>
      <w:r w:rsidRPr="00CC2621">
        <w:rPr>
          <w:rFonts w:ascii="Arial" w:hAnsi="Arial" w:cs="Arial"/>
          <w:b/>
          <w:iCs/>
          <w:sz w:val="22"/>
        </w:rPr>
        <w:t xml:space="preserve">Conseiller </w:t>
      </w:r>
      <w:r w:rsidR="00131BBE" w:rsidRPr="00CC2621">
        <w:rPr>
          <w:rFonts w:ascii="Arial" w:hAnsi="Arial" w:cs="Arial"/>
          <w:b/>
          <w:iCs/>
          <w:sz w:val="22"/>
        </w:rPr>
        <w:t xml:space="preserve">technique </w:t>
      </w:r>
      <w:r w:rsidRPr="00CC2621">
        <w:rPr>
          <w:rFonts w:ascii="Arial" w:hAnsi="Arial" w:cs="Arial"/>
          <w:b/>
          <w:iCs/>
          <w:sz w:val="22"/>
        </w:rPr>
        <w:t>–</w:t>
      </w:r>
      <w:r w:rsidR="00131BBE" w:rsidRPr="00CC2621">
        <w:rPr>
          <w:rFonts w:ascii="Arial" w:hAnsi="Arial" w:cs="Arial"/>
          <w:b/>
          <w:iCs/>
          <w:sz w:val="22"/>
        </w:rPr>
        <w:t xml:space="preserve"> </w:t>
      </w:r>
    </w:p>
    <w:p w14:paraId="2FFCCE2F" w14:textId="32F43F27" w:rsidR="00131BBE" w:rsidRPr="00CC2621" w:rsidRDefault="00000471" w:rsidP="00131BBE">
      <w:pPr>
        <w:rPr>
          <w:rFonts w:ascii="Arial" w:hAnsi="Arial" w:cs="Arial"/>
          <w:iCs/>
          <w:sz w:val="22"/>
        </w:rPr>
      </w:pPr>
      <w:r w:rsidRPr="00CC2621">
        <w:rPr>
          <w:rFonts w:ascii="Arial" w:hAnsi="Arial" w:cs="Arial"/>
          <w:iCs/>
          <w:sz w:val="22"/>
        </w:rPr>
        <w:t>Le conseiller</w:t>
      </w:r>
      <w:r w:rsidR="00131BBE" w:rsidRPr="00CC2621">
        <w:rPr>
          <w:rFonts w:ascii="Arial" w:hAnsi="Arial" w:cs="Arial"/>
          <w:iCs/>
          <w:sz w:val="22"/>
        </w:rPr>
        <w:t xml:space="preserve"> doit fournir un soutien technique substantiel</w:t>
      </w:r>
      <w:r w:rsidR="006B00EC" w:rsidRPr="00CC2621">
        <w:rPr>
          <w:rFonts w:ascii="Arial" w:hAnsi="Arial" w:cs="Arial"/>
          <w:iCs/>
          <w:sz w:val="22"/>
        </w:rPr>
        <w:t xml:space="preserve"> au consultant </w:t>
      </w:r>
      <w:r w:rsidRPr="00CC2621">
        <w:rPr>
          <w:rFonts w:ascii="Arial" w:hAnsi="Arial" w:cs="Arial"/>
          <w:iCs/>
          <w:sz w:val="22"/>
        </w:rPr>
        <w:t xml:space="preserve">principal pour l’organisation et la mise en œuvre des modules de formation, la </w:t>
      </w:r>
      <w:r w:rsidR="00054B2A" w:rsidRPr="00CC2621">
        <w:rPr>
          <w:rFonts w:ascii="Arial" w:hAnsi="Arial" w:cs="Arial"/>
          <w:iCs/>
          <w:sz w:val="22"/>
        </w:rPr>
        <w:t>collecte</w:t>
      </w:r>
      <w:r w:rsidRPr="00CC2621">
        <w:rPr>
          <w:rFonts w:ascii="Arial" w:hAnsi="Arial" w:cs="Arial"/>
          <w:iCs/>
          <w:sz w:val="22"/>
        </w:rPr>
        <w:t xml:space="preserve"> des </w:t>
      </w:r>
      <w:r w:rsidR="00054B2A" w:rsidRPr="00CC2621">
        <w:rPr>
          <w:rFonts w:ascii="Arial" w:hAnsi="Arial" w:cs="Arial"/>
          <w:iCs/>
          <w:sz w:val="22"/>
        </w:rPr>
        <w:t>données</w:t>
      </w:r>
      <w:r w:rsidRPr="00CC2621">
        <w:rPr>
          <w:rFonts w:ascii="Arial" w:hAnsi="Arial" w:cs="Arial"/>
          <w:iCs/>
          <w:sz w:val="22"/>
        </w:rPr>
        <w:t xml:space="preserve"> et la rédaction des rapports  </w:t>
      </w:r>
      <w:r w:rsidR="00131BBE" w:rsidRPr="00CC2621">
        <w:rPr>
          <w:rFonts w:ascii="Arial" w:hAnsi="Arial" w:cs="Arial"/>
          <w:iCs/>
          <w:sz w:val="22"/>
        </w:rPr>
        <w:t xml:space="preserve"> </w:t>
      </w:r>
    </w:p>
    <w:p w14:paraId="2E279F52" w14:textId="12C4CB97" w:rsidR="00131BBE" w:rsidRPr="00CC2621" w:rsidRDefault="00131BBE" w:rsidP="00000471">
      <w:pPr>
        <w:rPr>
          <w:rFonts w:ascii="Arial" w:hAnsi="Arial" w:cs="Arial"/>
          <w:b/>
          <w:i/>
          <w:iCs/>
          <w:sz w:val="22"/>
        </w:rPr>
      </w:pPr>
      <w:r w:rsidRPr="00CC2621">
        <w:rPr>
          <w:rFonts w:ascii="Arial" w:hAnsi="Arial" w:cs="Arial"/>
          <w:iCs/>
          <w:sz w:val="22"/>
        </w:rPr>
        <w:t>Diplôme : Master en économie, économie du développement, droit et politiques publiques de l'environnement, finances publiques, statistiques, etc.</w:t>
      </w:r>
      <w:r w:rsidR="00000471" w:rsidRPr="00CC2621">
        <w:rPr>
          <w:rFonts w:ascii="Arial" w:hAnsi="Arial" w:cs="Arial"/>
          <w:iCs/>
          <w:sz w:val="22"/>
        </w:rPr>
        <w:t xml:space="preserve"> Doit avoir au moins trois (3) ans d'expérience sur l'analyse et l'élaboration de politiques et la formation en particulier sur la budgétisation axée sur les résultats (RBB) pour le secteur de </w:t>
      </w:r>
      <w:r w:rsidR="005E02CF" w:rsidRPr="00CC2621">
        <w:rPr>
          <w:rFonts w:ascii="Arial" w:hAnsi="Arial" w:cs="Arial"/>
          <w:iCs/>
          <w:sz w:val="22"/>
        </w:rPr>
        <w:t>l’Environnement</w:t>
      </w:r>
      <w:r w:rsidR="005E02CF" w:rsidRPr="00CC2621">
        <w:rPr>
          <w:rFonts w:ascii="Arial" w:hAnsi="Arial" w:cs="Arial"/>
          <w:b/>
          <w:i/>
          <w:iCs/>
          <w:sz w:val="22"/>
        </w:rPr>
        <w:t>.</w:t>
      </w:r>
      <w:r w:rsidR="00000471" w:rsidRPr="00CC2621">
        <w:rPr>
          <w:rFonts w:ascii="Arial" w:hAnsi="Arial" w:cs="Arial"/>
          <w:b/>
          <w:i/>
          <w:iCs/>
          <w:sz w:val="22"/>
        </w:rPr>
        <w:t xml:space="preserve"> </w:t>
      </w:r>
    </w:p>
    <w:p w14:paraId="423EF205" w14:textId="6AEE717F" w:rsidR="00131BBE" w:rsidRPr="00CC2621" w:rsidRDefault="00131BBE" w:rsidP="00131BBE">
      <w:pPr>
        <w:rPr>
          <w:rFonts w:ascii="Arial" w:hAnsi="Arial" w:cs="Arial"/>
          <w:b/>
          <w:i/>
          <w:iCs/>
          <w:sz w:val="22"/>
        </w:rPr>
      </w:pPr>
      <w:r w:rsidRPr="00CC2621">
        <w:rPr>
          <w:rFonts w:ascii="Arial" w:hAnsi="Arial" w:cs="Arial"/>
          <w:b/>
          <w:i/>
          <w:iCs/>
          <w:sz w:val="22"/>
        </w:rPr>
        <w:t>L</w:t>
      </w:r>
      <w:r w:rsidR="006B00EC" w:rsidRPr="00CC2621">
        <w:rPr>
          <w:rFonts w:ascii="Arial" w:hAnsi="Arial" w:cs="Arial"/>
          <w:b/>
          <w:i/>
          <w:iCs/>
          <w:sz w:val="22"/>
        </w:rPr>
        <w:t>angue</w:t>
      </w:r>
      <w:r w:rsidR="008E19C4" w:rsidRPr="00CC2621">
        <w:rPr>
          <w:rFonts w:ascii="Arial" w:hAnsi="Arial" w:cs="Arial"/>
          <w:b/>
          <w:i/>
          <w:iCs/>
          <w:sz w:val="22"/>
        </w:rPr>
        <w:t> :</w:t>
      </w:r>
      <w:r w:rsidR="006B00EC" w:rsidRPr="00CC2621">
        <w:rPr>
          <w:rFonts w:ascii="Arial" w:hAnsi="Arial" w:cs="Arial"/>
          <w:b/>
          <w:i/>
          <w:iCs/>
          <w:sz w:val="22"/>
        </w:rPr>
        <w:t xml:space="preserve"> Excellent</w:t>
      </w:r>
      <w:r w:rsidR="00000471" w:rsidRPr="00CC2621">
        <w:rPr>
          <w:rFonts w:ascii="Arial" w:hAnsi="Arial" w:cs="Arial"/>
          <w:b/>
          <w:i/>
          <w:iCs/>
          <w:sz w:val="22"/>
        </w:rPr>
        <w:t>e</w:t>
      </w:r>
      <w:r w:rsidR="006B00EC" w:rsidRPr="00CC2621">
        <w:rPr>
          <w:rFonts w:ascii="Arial" w:hAnsi="Arial" w:cs="Arial"/>
          <w:b/>
          <w:i/>
          <w:iCs/>
          <w:sz w:val="22"/>
        </w:rPr>
        <w:t xml:space="preserve"> maitrise du français</w:t>
      </w:r>
      <w:r w:rsidRPr="00CC2621">
        <w:rPr>
          <w:rFonts w:ascii="Arial" w:hAnsi="Arial" w:cs="Arial"/>
          <w:b/>
          <w:i/>
          <w:iCs/>
          <w:sz w:val="22"/>
        </w:rPr>
        <w:t>.</w:t>
      </w:r>
    </w:p>
    <w:p w14:paraId="37A391E4" w14:textId="77777777" w:rsidR="00737259" w:rsidRPr="00CC2621" w:rsidRDefault="00737259" w:rsidP="00737259">
      <w:pPr>
        <w:pStyle w:val="Titre1"/>
        <w:rPr>
          <w:rFonts w:asciiTheme="minorBidi" w:hAnsiTheme="minorBidi" w:cstheme="minorBidi"/>
          <w:sz w:val="22"/>
          <w:szCs w:val="22"/>
        </w:rPr>
      </w:pPr>
      <w:r w:rsidRPr="00CC2621">
        <w:rPr>
          <w:rFonts w:asciiTheme="minorBidi" w:hAnsiTheme="minorBidi" w:cstheme="minorBidi"/>
          <w:sz w:val="22"/>
          <w:szCs w:val="22"/>
        </w:rPr>
        <w:t>Les critères d’évaluation</w:t>
      </w:r>
    </w:p>
    <w:p w14:paraId="19209858" w14:textId="77777777" w:rsidR="00737259" w:rsidRPr="00CC2621" w:rsidRDefault="00737259" w:rsidP="00737259">
      <w:pPr>
        <w:tabs>
          <w:tab w:val="left" w:pos="1276"/>
        </w:tabs>
        <w:spacing w:line="340" w:lineRule="exact"/>
        <w:rPr>
          <w:rFonts w:asciiTheme="minorBidi" w:hAnsiTheme="minorBidi"/>
          <w:bCs/>
          <w:sz w:val="22"/>
        </w:rPr>
      </w:pPr>
      <w:r w:rsidRPr="00CC2621">
        <w:rPr>
          <w:rFonts w:asciiTheme="minorBidi" w:hAnsiTheme="minorBidi"/>
          <w:bCs/>
          <w:sz w:val="22"/>
        </w:rPr>
        <w:t>L’évaluation des offres se déroule en deux temps. L’évaluation des propositions techniques est achevée avant l’ouverture et la comparaison des propositions financières.</w:t>
      </w:r>
    </w:p>
    <w:p w14:paraId="12812A82" w14:textId="77777777" w:rsidR="00737259" w:rsidRPr="00CC2621" w:rsidRDefault="00737259" w:rsidP="00737259">
      <w:pPr>
        <w:tabs>
          <w:tab w:val="left" w:pos="1276"/>
        </w:tabs>
        <w:spacing w:line="340" w:lineRule="exact"/>
        <w:rPr>
          <w:rFonts w:asciiTheme="minorBidi" w:hAnsiTheme="minorBidi"/>
          <w:bCs/>
          <w:sz w:val="22"/>
        </w:rPr>
      </w:pPr>
      <w:r w:rsidRPr="00CC2621">
        <w:rPr>
          <w:rFonts w:asciiTheme="minorBidi" w:hAnsiTheme="minorBidi"/>
          <w:bCs/>
          <w:sz w:val="22"/>
        </w:rPr>
        <w:t>La proposition technique sera évaluée sur son degré de réponse par rapport aux termes de référence et sur la base des critères suivants : (voir modèle en annexe 1)</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7"/>
        <w:gridCol w:w="918"/>
      </w:tblGrid>
      <w:tr w:rsidR="00737259" w:rsidRPr="00CC2621" w14:paraId="1E04CD96" w14:textId="77777777" w:rsidTr="001343EF">
        <w:trPr>
          <w:trHeight w:val="529"/>
          <w:tblHeader/>
        </w:trPr>
        <w:tc>
          <w:tcPr>
            <w:tcW w:w="8217" w:type="dxa"/>
            <w:tcMar>
              <w:top w:w="0" w:type="dxa"/>
              <w:left w:w="108" w:type="dxa"/>
              <w:bottom w:w="0" w:type="dxa"/>
              <w:right w:w="108" w:type="dxa"/>
            </w:tcMar>
          </w:tcPr>
          <w:p w14:paraId="00487C18" w14:textId="77777777" w:rsidR="00737259" w:rsidRPr="00CC2621" w:rsidRDefault="00737259" w:rsidP="007131C2">
            <w:pPr>
              <w:tabs>
                <w:tab w:val="left" w:pos="1276"/>
              </w:tabs>
              <w:spacing w:line="340" w:lineRule="exact"/>
              <w:rPr>
                <w:rFonts w:asciiTheme="minorBidi" w:hAnsiTheme="minorBidi"/>
                <w:b/>
                <w:bCs/>
                <w:sz w:val="22"/>
              </w:rPr>
            </w:pPr>
            <w:r w:rsidRPr="00CC2621">
              <w:rPr>
                <w:rFonts w:asciiTheme="minorBidi" w:hAnsiTheme="minorBidi"/>
                <w:b/>
                <w:bCs/>
                <w:sz w:val="22"/>
              </w:rPr>
              <w:lastRenderedPageBreak/>
              <w:t>Critères d’évaluation</w:t>
            </w:r>
          </w:p>
        </w:tc>
        <w:tc>
          <w:tcPr>
            <w:tcW w:w="918" w:type="dxa"/>
            <w:tcMar>
              <w:top w:w="0" w:type="dxa"/>
              <w:left w:w="108" w:type="dxa"/>
              <w:bottom w:w="0" w:type="dxa"/>
              <w:right w:w="108" w:type="dxa"/>
            </w:tcMar>
          </w:tcPr>
          <w:p w14:paraId="77CD6767" w14:textId="77777777" w:rsidR="00737259" w:rsidRPr="00CC2621" w:rsidRDefault="00737259" w:rsidP="007131C2">
            <w:pPr>
              <w:tabs>
                <w:tab w:val="left" w:pos="1276"/>
              </w:tabs>
              <w:spacing w:line="340" w:lineRule="exact"/>
              <w:jc w:val="center"/>
              <w:rPr>
                <w:rFonts w:asciiTheme="minorBidi" w:hAnsiTheme="minorBidi"/>
                <w:b/>
                <w:bCs/>
                <w:sz w:val="22"/>
              </w:rPr>
            </w:pPr>
            <w:r w:rsidRPr="00CC2621">
              <w:rPr>
                <w:rFonts w:asciiTheme="minorBidi" w:hAnsiTheme="minorBidi"/>
                <w:b/>
                <w:bCs/>
                <w:sz w:val="22"/>
              </w:rPr>
              <w:t xml:space="preserve">Points </w:t>
            </w:r>
          </w:p>
        </w:tc>
      </w:tr>
      <w:tr w:rsidR="00737259" w:rsidRPr="00CC2621" w14:paraId="1CD6D870" w14:textId="77777777" w:rsidTr="007131C2">
        <w:trPr>
          <w:trHeight w:val="410"/>
        </w:trPr>
        <w:tc>
          <w:tcPr>
            <w:tcW w:w="8217" w:type="dxa"/>
            <w:tcMar>
              <w:top w:w="0" w:type="dxa"/>
              <w:left w:w="108" w:type="dxa"/>
              <w:bottom w:w="0" w:type="dxa"/>
              <w:right w:w="108" w:type="dxa"/>
            </w:tcMar>
            <w:vAlign w:val="center"/>
          </w:tcPr>
          <w:p w14:paraId="394FBC66" w14:textId="77777777" w:rsidR="00737259" w:rsidRPr="00CC2621" w:rsidRDefault="00737259" w:rsidP="007131C2">
            <w:pPr>
              <w:tabs>
                <w:tab w:val="left" w:pos="1276"/>
              </w:tabs>
              <w:spacing w:line="340" w:lineRule="exact"/>
              <w:rPr>
                <w:rFonts w:asciiTheme="minorBidi" w:eastAsia="Calibri" w:hAnsiTheme="minorBidi"/>
                <w:sz w:val="22"/>
                <w:lang w:eastAsia="rw-RW"/>
              </w:rPr>
            </w:pPr>
            <w:r w:rsidRPr="00CC2621">
              <w:rPr>
                <w:rFonts w:asciiTheme="minorBidi" w:eastAsia="Calibri" w:hAnsiTheme="minorBidi"/>
                <w:sz w:val="22"/>
                <w:lang w:eastAsia="rw-RW"/>
              </w:rPr>
              <w:t xml:space="preserve">Qualifications : Diplômes, niveau et pertinence des spécialités : </w:t>
            </w:r>
          </w:p>
          <w:p w14:paraId="054D8FD8" w14:textId="77777777" w:rsidR="00CC2621" w:rsidRDefault="00CC2621" w:rsidP="007131C2">
            <w:pPr>
              <w:tabs>
                <w:tab w:val="left" w:pos="1276"/>
              </w:tabs>
              <w:spacing w:line="340" w:lineRule="exact"/>
              <w:rPr>
                <w:rFonts w:ascii="Arial" w:hAnsi="Arial" w:cs="Arial"/>
                <w:iCs/>
                <w:sz w:val="22"/>
              </w:rPr>
            </w:pPr>
            <w:r>
              <w:rPr>
                <w:rFonts w:asciiTheme="minorBidi" w:eastAsia="Calibri" w:hAnsiTheme="minorBidi"/>
                <w:bCs/>
                <w:sz w:val="22"/>
              </w:rPr>
              <w:t xml:space="preserve">Pour le chef d’équipe : </w:t>
            </w:r>
            <w:r w:rsidR="00737259" w:rsidRPr="00CC2621">
              <w:rPr>
                <w:rFonts w:asciiTheme="minorBidi" w:eastAsia="Calibri" w:hAnsiTheme="minorBidi"/>
                <w:bCs/>
                <w:sz w:val="22"/>
              </w:rPr>
              <w:t xml:space="preserve">Diplôme de niveau Master en </w:t>
            </w:r>
            <w:r>
              <w:rPr>
                <w:rFonts w:asciiTheme="minorBidi" w:eastAsia="Calibri" w:hAnsiTheme="minorBidi"/>
                <w:bCs/>
                <w:sz w:val="22"/>
              </w:rPr>
              <w:t>économie de l’environnement</w:t>
            </w:r>
            <w:r w:rsidR="00737259" w:rsidRPr="00CC2621">
              <w:rPr>
                <w:rFonts w:asciiTheme="minorBidi" w:eastAsia="Calibri" w:hAnsiTheme="minorBidi"/>
                <w:bCs/>
                <w:sz w:val="22"/>
              </w:rPr>
              <w:t>,</w:t>
            </w:r>
            <w:r>
              <w:rPr>
                <w:rFonts w:asciiTheme="minorBidi" w:eastAsia="Calibri" w:hAnsiTheme="minorBidi"/>
                <w:bCs/>
                <w:sz w:val="22"/>
              </w:rPr>
              <w:t xml:space="preserve"> </w:t>
            </w:r>
            <w:r w:rsidRPr="00CC2621">
              <w:rPr>
                <w:rFonts w:ascii="Arial" w:hAnsi="Arial" w:cs="Arial"/>
                <w:iCs/>
                <w:sz w:val="22"/>
              </w:rPr>
              <w:t>en sciences sociales telles que l'économie, l'économie du développement, les finances publiques ou tout autre domaine d'études pertinent</w:t>
            </w:r>
          </w:p>
          <w:p w14:paraId="42FB64C7" w14:textId="66171B7A" w:rsidR="00737259" w:rsidRPr="00CC2621" w:rsidRDefault="00CC2621" w:rsidP="007131C2">
            <w:pPr>
              <w:tabs>
                <w:tab w:val="left" w:pos="1276"/>
              </w:tabs>
              <w:spacing w:line="340" w:lineRule="exact"/>
              <w:rPr>
                <w:rFonts w:asciiTheme="minorBidi" w:eastAsia="Calibri" w:hAnsiTheme="minorBidi"/>
                <w:sz w:val="22"/>
                <w:lang w:eastAsia="rw-RW"/>
              </w:rPr>
            </w:pPr>
            <w:r>
              <w:rPr>
                <w:rFonts w:ascii="Arial" w:hAnsi="Arial" w:cs="Arial"/>
                <w:iCs/>
                <w:sz w:val="22"/>
              </w:rPr>
              <w:t>Pour le conseiller Technique</w:t>
            </w:r>
            <w:r w:rsidR="00737259" w:rsidRPr="00CC2621">
              <w:rPr>
                <w:rFonts w:asciiTheme="minorBidi" w:eastAsia="Calibri" w:hAnsiTheme="minorBidi"/>
                <w:bCs/>
                <w:sz w:val="22"/>
              </w:rPr>
              <w:t>.</w:t>
            </w:r>
            <w:r>
              <w:rPr>
                <w:rFonts w:asciiTheme="minorBidi" w:eastAsia="Calibri" w:hAnsiTheme="minorBidi"/>
                <w:bCs/>
                <w:sz w:val="22"/>
              </w:rPr>
              <w:t xml:space="preserve"> </w:t>
            </w:r>
            <w:r w:rsidRPr="00CC2621">
              <w:rPr>
                <w:rFonts w:ascii="Arial" w:hAnsi="Arial" w:cs="Arial"/>
                <w:iCs/>
                <w:sz w:val="22"/>
              </w:rPr>
              <w:t>Master en économie, économie du développement, droit et politiques publiques de l'environnement, finances publiques, statistiques</w:t>
            </w:r>
          </w:p>
        </w:tc>
        <w:tc>
          <w:tcPr>
            <w:tcW w:w="918" w:type="dxa"/>
            <w:tcMar>
              <w:top w:w="0" w:type="dxa"/>
              <w:left w:w="108" w:type="dxa"/>
              <w:bottom w:w="0" w:type="dxa"/>
              <w:right w:w="108" w:type="dxa"/>
            </w:tcMar>
            <w:vAlign w:val="center"/>
          </w:tcPr>
          <w:p w14:paraId="41560A53" w14:textId="4EAAD350" w:rsidR="00737259" w:rsidRPr="00CC2621" w:rsidRDefault="00737259" w:rsidP="007131C2">
            <w:pPr>
              <w:tabs>
                <w:tab w:val="left" w:pos="1276"/>
              </w:tabs>
              <w:spacing w:line="340" w:lineRule="exact"/>
              <w:jc w:val="center"/>
              <w:rPr>
                <w:rFonts w:asciiTheme="minorBidi" w:hAnsiTheme="minorBidi"/>
                <w:bCs/>
                <w:sz w:val="22"/>
              </w:rPr>
            </w:pPr>
            <w:r w:rsidRPr="00CC2621">
              <w:rPr>
                <w:rFonts w:asciiTheme="minorBidi" w:hAnsiTheme="minorBidi"/>
                <w:bCs/>
                <w:sz w:val="22"/>
              </w:rPr>
              <w:t>2</w:t>
            </w:r>
            <w:r w:rsidR="00EF280A">
              <w:rPr>
                <w:rFonts w:asciiTheme="minorBidi" w:hAnsiTheme="minorBidi"/>
                <w:bCs/>
                <w:sz w:val="22"/>
              </w:rPr>
              <w:t>5</w:t>
            </w:r>
          </w:p>
        </w:tc>
      </w:tr>
      <w:tr w:rsidR="00737259" w:rsidRPr="00CC2621" w14:paraId="318297C2" w14:textId="77777777" w:rsidTr="007131C2">
        <w:trPr>
          <w:trHeight w:val="248"/>
        </w:trPr>
        <w:tc>
          <w:tcPr>
            <w:tcW w:w="8217" w:type="dxa"/>
            <w:tcMar>
              <w:top w:w="0" w:type="dxa"/>
              <w:left w:w="108" w:type="dxa"/>
              <w:bottom w:w="0" w:type="dxa"/>
              <w:right w:w="108" w:type="dxa"/>
            </w:tcMar>
            <w:vAlign w:val="center"/>
          </w:tcPr>
          <w:p w14:paraId="208652AB" w14:textId="75D9F87E" w:rsidR="00247634" w:rsidRDefault="00CC2621" w:rsidP="007131C2">
            <w:pPr>
              <w:tabs>
                <w:tab w:val="left" w:pos="1276"/>
              </w:tabs>
              <w:spacing w:line="340" w:lineRule="exact"/>
              <w:rPr>
                <w:rFonts w:ascii="Arial" w:hAnsi="Arial" w:cs="Arial"/>
                <w:iCs/>
                <w:sz w:val="22"/>
              </w:rPr>
            </w:pPr>
            <w:r>
              <w:rPr>
                <w:rFonts w:asciiTheme="minorBidi" w:eastAsia="Calibri" w:hAnsiTheme="minorBidi"/>
                <w:sz w:val="22"/>
                <w:lang w:eastAsia="rw-RW"/>
              </w:rPr>
              <w:t>Pour le chef d’équipe au moins 10 années d’</w:t>
            </w:r>
            <w:r w:rsidRPr="00CC2621">
              <w:rPr>
                <w:rFonts w:ascii="Arial" w:hAnsi="Arial" w:cs="Arial"/>
                <w:iCs/>
                <w:sz w:val="22"/>
              </w:rPr>
              <w:t>expérience</w:t>
            </w:r>
            <w:r>
              <w:rPr>
                <w:rFonts w:ascii="Arial" w:hAnsi="Arial" w:cs="Arial"/>
                <w:iCs/>
                <w:sz w:val="22"/>
              </w:rPr>
              <w:t>s</w:t>
            </w:r>
            <w:r w:rsidRPr="00CC2621">
              <w:rPr>
                <w:rFonts w:ascii="Arial" w:hAnsi="Arial" w:cs="Arial"/>
                <w:iCs/>
                <w:sz w:val="22"/>
              </w:rPr>
              <w:t xml:space="preserve"> dans le développement des capacités et de la formation en matière de budgétisation axée sur les résultats et préférablement une expérience dans le domaine de l’Environnement</w:t>
            </w:r>
            <w:r w:rsidR="00247634">
              <w:rPr>
                <w:rFonts w:ascii="Arial" w:hAnsi="Arial" w:cs="Arial"/>
                <w:iCs/>
                <w:sz w:val="22"/>
              </w:rPr>
              <w:t> ; compétence en rédaction de rapports, présentation, plaidoyer et en communication.</w:t>
            </w:r>
          </w:p>
          <w:p w14:paraId="461EED3D" w14:textId="4D70E649" w:rsidR="00247634" w:rsidRDefault="00247634" w:rsidP="007131C2">
            <w:pPr>
              <w:tabs>
                <w:tab w:val="left" w:pos="1276"/>
              </w:tabs>
              <w:spacing w:line="340" w:lineRule="exact"/>
              <w:rPr>
                <w:rFonts w:ascii="Arial" w:hAnsi="Arial" w:cs="Arial"/>
                <w:iCs/>
                <w:sz w:val="22"/>
              </w:rPr>
            </w:pPr>
            <w:r>
              <w:rPr>
                <w:rFonts w:ascii="Arial" w:hAnsi="Arial" w:cs="Arial"/>
                <w:iCs/>
                <w:sz w:val="22"/>
              </w:rPr>
              <w:t xml:space="preserve">Pour le conseiller Technique : </w:t>
            </w:r>
            <w:r w:rsidRPr="00CC2621">
              <w:rPr>
                <w:rFonts w:ascii="Arial" w:hAnsi="Arial" w:cs="Arial"/>
                <w:iCs/>
                <w:sz w:val="22"/>
              </w:rPr>
              <w:t>avoir au moins trois (3) ans d'expérience sur l'analyse et l'élaboration de politiques et la formation en particulier sur la budgétisation axée sur les résultats (RBB) pour le secteur de l’Environnement</w:t>
            </w:r>
            <w:r>
              <w:rPr>
                <w:rFonts w:ascii="Arial" w:hAnsi="Arial" w:cs="Arial"/>
                <w:iCs/>
                <w:sz w:val="22"/>
              </w:rPr>
              <w:t>.</w:t>
            </w:r>
          </w:p>
          <w:p w14:paraId="418667D7" w14:textId="5E0A798D" w:rsidR="00737259" w:rsidRPr="00CC2621" w:rsidRDefault="00247634" w:rsidP="00A021A6">
            <w:pPr>
              <w:tabs>
                <w:tab w:val="left" w:pos="1276"/>
              </w:tabs>
              <w:spacing w:line="340" w:lineRule="exact"/>
              <w:rPr>
                <w:rFonts w:asciiTheme="minorBidi" w:eastAsia="Calibri" w:hAnsiTheme="minorBidi"/>
                <w:sz w:val="22"/>
                <w:lang w:eastAsia="rw-RW"/>
              </w:rPr>
            </w:pPr>
            <w:r>
              <w:rPr>
                <w:rFonts w:ascii="Arial" w:hAnsi="Arial" w:cs="Arial"/>
                <w:iCs/>
                <w:sz w:val="22"/>
              </w:rPr>
              <w:t xml:space="preserve">L’équipe doit avoir une bonne connaissance de l’ODD, de l’environnement et du Changement climatique, une expertise en matière de </w:t>
            </w:r>
            <w:r w:rsidRPr="00CC2621">
              <w:rPr>
                <w:rFonts w:ascii="Arial" w:hAnsi="Arial" w:cs="Arial"/>
                <w:iCs/>
                <w:sz w:val="22"/>
              </w:rPr>
              <w:t>budgétisation axée sur les résultats, de gestion axée sur les résultats et d'efficacité des finances publiques</w:t>
            </w:r>
            <w:r w:rsidR="00A021A6">
              <w:rPr>
                <w:rFonts w:ascii="Arial" w:hAnsi="Arial" w:cs="Arial"/>
                <w:iCs/>
                <w:sz w:val="22"/>
              </w:rPr>
              <w:t>. L’équipe du doit avoir une excellente maitrise du français</w:t>
            </w:r>
          </w:p>
        </w:tc>
        <w:tc>
          <w:tcPr>
            <w:tcW w:w="918" w:type="dxa"/>
            <w:tcMar>
              <w:top w:w="0" w:type="dxa"/>
              <w:left w:w="108" w:type="dxa"/>
              <w:bottom w:w="0" w:type="dxa"/>
              <w:right w:w="108" w:type="dxa"/>
            </w:tcMar>
            <w:vAlign w:val="center"/>
          </w:tcPr>
          <w:p w14:paraId="5C4A82A3" w14:textId="41B19E2A" w:rsidR="00737259" w:rsidRPr="00CC2621" w:rsidRDefault="00737259" w:rsidP="007131C2">
            <w:pPr>
              <w:tabs>
                <w:tab w:val="left" w:pos="1276"/>
              </w:tabs>
              <w:spacing w:line="340" w:lineRule="exact"/>
              <w:jc w:val="center"/>
              <w:rPr>
                <w:rFonts w:asciiTheme="minorBidi" w:eastAsia="Calibri" w:hAnsiTheme="minorBidi"/>
                <w:sz w:val="22"/>
                <w:lang w:eastAsia="rw-RW"/>
              </w:rPr>
            </w:pPr>
            <w:r w:rsidRPr="00CC2621">
              <w:rPr>
                <w:rFonts w:asciiTheme="minorBidi" w:eastAsia="Calibri" w:hAnsiTheme="minorBidi"/>
                <w:sz w:val="22"/>
                <w:lang w:eastAsia="rw-RW"/>
              </w:rPr>
              <w:t>2</w:t>
            </w:r>
            <w:r w:rsidR="00A021A6">
              <w:rPr>
                <w:rFonts w:asciiTheme="minorBidi" w:eastAsia="Calibri" w:hAnsiTheme="minorBidi"/>
                <w:sz w:val="22"/>
                <w:lang w:eastAsia="rw-RW"/>
              </w:rPr>
              <w:t>5</w:t>
            </w:r>
          </w:p>
        </w:tc>
      </w:tr>
      <w:tr w:rsidR="00737259" w:rsidRPr="00CC2621" w14:paraId="30699E50" w14:textId="77777777" w:rsidTr="007131C2">
        <w:trPr>
          <w:trHeight w:val="298"/>
        </w:trPr>
        <w:tc>
          <w:tcPr>
            <w:tcW w:w="8217" w:type="dxa"/>
            <w:tcMar>
              <w:top w:w="0" w:type="dxa"/>
              <w:left w:w="108" w:type="dxa"/>
              <w:bottom w:w="0" w:type="dxa"/>
              <w:right w:w="108" w:type="dxa"/>
            </w:tcMar>
            <w:vAlign w:val="center"/>
          </w:tcPr>
          <w:p w14:paraId="7A04C092" w14:textId="77777777" w:rsidR="00737259" w:rsidRPr="00CC2621" w:rsidRDefault="00737259" w:rsidP="007131C2">
            <w:pPr>
              <w:tabs>
                <w:tab w:val="left" w:pos="1276"/>
              </w:tabs>
              <w:spacing w:line="340" w:lineRule="exact"/>
              <w:rPr>
                <w:rFonts w:asciiTheme="minorBidi" w:eastAsia="Calibri" w:hAnsiTheme="minorBidi"/>
                <w:sz w:val="22"/>
                <w:lang w:eastAsia="rw-RW"/>
              </w:rPr>
            </w:pPr>
            <w:r w:rsidRPr="00CC2621">
              <w:rPr>
                <w:rFonts w:asciiTheme="minorBidi" w:eastAsia="Calibri" w:hAnsiTheme="minorBidi"/>
                <w:sz w:val="22"/>
                <w:lang w:eastAsia="rw-RW"/>
              </w:rPr>
              <w:t>Compréhension du mandat et adéquation de la méthodologie proposée</w:t>
            </w:r>
          </w:p>
        </w:tc>
        <w:tc>
          <w:tcPr>
            <w:tcW w:w="918" w:type="dxa"/>
            <w:tcMar>
              <w:top w:w="0" w:type="dxa"/>
              <w:left w:w="108" w:type="dxa"/>
              <w:bottom w:w="0" w:type="dxa"/>
              <w:right w:w="108" w:type="dxa"/>
            </w:tcMar>
            <w:vAlign w:val="center"/>
          </w:tcPr>
          <w:p w14:paraId="235C8BBD" w14:textId="1E8719DE" w:rsidR="00737259" w:rsidRPr="00CC2621" w:rsidRDefault="00A021A6" w:rsidP="007131C2">
            <w:pPr>
              <w:tabs>
                <w:tab w:val="left" w:pos="1276"/>
              </w:tabs>
              <w:spacing w:line="340" w:lineRule="exact"/>
              <w:jc w:val="center"/>
              <w:rPr>
                <w:rFonts w:asciiTheme="minorBidi" w:eastAsia="Calibri" w:hAnsiTheme="minorBidi"/>
                <w:sz w:val="22"/>
                <w:lang w:eastAsia="rw-RW"/>
              </w:rPr>
            </w:pPr>
            <w:r>
              <w:rPr>
                <w:rFonts w:asciiTheme="minorBidi" w:eastAsia="Calibri" w:hAnsiTheme="minorBidi"/>
                <w:sz w:val="22"/>
                <w:lang w:eastAsia="rw-RW"/>
              </w:rPr>
              <w:t>25</w:t>
            </w:r>
          </w:p>
        </w:tc>
      </w:tr>
      <w:tr w:rsidR="00737259" w:rsidRPr="00CC2621" w14:paraId="6C427169" w14:textId="77777777" w:rsidTr="007131C2">
        <w:trPr>
          <w:trHeight w:val="521"/>
        </w:trPr>
        <w:tc>
          <w:tcPr>
            <w:tcW w:w="8217" w:type="dxa"/>
            <w:tcMar>
              <w:top w:w="0" w:type="dxa"/>
              <w:left w:w="108" w:type="dxa"/>
              <w:bottom w:w="0" w:type="dxa"/>
              <w:right w:w="108" w:type="dxa"/>
            </w:tcMar>
            <w:vAlign w:val="center"/>
          </w:tcPr>
          <w:p w14:paraId="5EEB35EE" w14:textId="1D9AACE4" w:rsidR="00737259" w:rsidRPr="00CC2621" w:rsidRDefault="00737259" w:rsidP="007131C2">
            <w:pPr>
              <w:spacing w:after="0" w:line="340" w:lineRule="exact"/>
              <w:contextualSpacing/>
              <w:rPr>
                <w:rFonts w:asciiTheme="minorBidi" w:eastAsia="Times New Roman" w:hAnsiTheme="minorBidi"/>
                <w:sz w:val="22"/>
              </w:rPr>
            </w:pPr>
            <w:r w:rsidRPr="00CC2621">
              <w:rPr>
                <w:rFonts w:asciiTheme="minorBidi" w:eastAsia="Times New Roman" w:hAnsiTheme="minorBidi"/>
                <w:sz w:val="22"/>
              </w:rPr>
              <w:t xml:space="preserve">Fortes connaissances du contexte de mise en œuvre des Conventions internationales, dont les Conventions </w:t>
            </w:r>
            <w:r w:rsidR="00A021A6">
              <w:rPr>
                <w:rFonts w:asciiTheme="minorBidi" w:eastAsia="Times New Roman" w:hAnsiTheme="minorBidi"/>
                <w:sz w:val="22"/>
              </w:rPr>
              <w:t>sur la Diversité Biologique</w:t>
            </w:r>
          </w:p>
        </w:tc>
        <w:tc>
          <w:tcPr>
            <w:tcW w:w="918" w:type="dxa"/>
            <w:tcMar>
              <w:top w:w="0" w:type="dxa"/>
              <w:left w:w="108" w:type="dxa"/>
              <w:bottom w:w="0" w:type="dxa"/>
              <w:right w:w="108" w:type="dxa"/>
            </w:tcMar>
            <w:vAlign w:val="center"/>
          </w:tcPr>
          <w:p w14:paraId="0080E79F" w14:textId="421E5DB2" w:rsidR="00737259" w:rsidRPr="00CC2621" w:rsidRDefault="00A021A6" w:rsidP="007131C2">
            <w:pPr>
              <w:tabs>
                <w:tab w:val="left" w:pos="1276"/>
              </w:tabs>
              <w:spacing w:line="340" w:lineRule="exact"/>
              <w:jc w:val="center"/>
              <w:rPr>
                <w:rFonts w:asciiTheme="minorBidi" w:eastAsia="Calibri" w:hAnsiTheme="minorBidi"/>
                <w:sz w:val="22"/>
                <w:lang w:eastAsia="rw-RW"/>
              </w:rPr>
            </w:pPr>
            <w:r>
              <w:rPr>
                <w:rFonts w:asciiTheme="minorBidi" w:eastAsia="Calibri" w:hAnsiTheme="minorBidi"/>
                <w:sz w:val="22"/>
                <w:lang w:eastAsia="rw-RW"/>
              </w:rPr>
              <w:t>15</w:t>
            </w:r>
          </w:p>
        </w:tc>
      </w:tr>
      <w:tr w:rsidR="00737259" w:rsidRPr="00CC2621" w14:paraId="3E763884" w14:textId="77777777" w:rsidTr="007131C2">
        <w:trPr>
          <w:trHeight w:val="314"/>
        </w:trPr>
        <w:tc>
          <w:tcPr>
            <w:tcW w:w="8217" w:type="dxa"/>
            <w:tcMar>
              <w:top w:w="0" w:type="dxa"/>
              <w:left w:w="108" w:type="dxa"/>
              <w:bottom w:w="0" w:type="dxa"/>
              <w:right w:w="108" w:type="dxa"/>
            </w:tcMar>
            <w:vAlign w:val="center"/>
          </w:tcPr>
          <w:p w14:paraId="4C05C141" w14:textId="739F90B0" w:rsidR="00737259" w:rsidRPr="00CC2621" w:rsidRDefault="00737259" w:rsidP="007131C2">
            <w:pPr>
              <w:tabs>
                <w:tab w:val="left" w:pos="1276"/>
              </w:tabs>
              <w:spacing w:line="340" w:lineRule="exact"/>
              <w:rPr>
                <w:rFonts w:asciiTheme="minorBidi" w:eastAsia="Calibri" w:hAnsiTheme="minorBidi"/>
                <w:sz w:val="22"/>
                <w:lang w:eastAsia="rw-RW"/>
              </w:rPr>
            </w:pPr>
            <w:r w:rsidRPr="00CC2621">
              <w:rPr>
                <w:rFonts w:asciiTheme="minorBidi" w:eastAsia="Calibri" w:hAnsiTheme="minorBidi"/>
                <w:sz w:val="22"/>
                <w:lang w:eastAsia="rw-RW"/>
              </w:rPr>
              <w:t xml:space="preserve">Bonne connaissance </w:t>
            </w:r>
            <w:r w:rsidR="00A021A6">
              <w:rPr>
                <w:rFonts w:asciiTheme="minorBidi" w:eastAsia="Calibri" w:hAnsiTheme="minorBidi"/>
                <w:sz w:val="22"/>
                <w:lang w:eastAsia="rw-RW"/>
              </w:rPr>
              <w:t>procédure étatique</w:t>
            </w:r>
            <w:r w:rsidR="00F84E93">
              <w:rPr>
                <w:rFonts w:asciiTheme="minorBidi" w:eastAsia="Calibri" w:hAnsiTheme="minorBidi"/>
                <w:sz w:val="22"/>
                <w:lang w:eastAsia="rw-RW"/>
              </w:rPr>
              <w:t xml:space="preserve"> sur la gestion du budget</w:t>
            </w:r>
            <w:r w:rsidRPr="00CC2621">
              <w:rPr>
                <w:rFonts w:asciiTheme="minorBidi" w:eastAsia="Calibri" w:hAnsiTheme="minorBidi"/>
                <w:sz w:val="22"/>
                <w:lang w:eastAsia="rw-RW"/>
              </w:rPr>
              <w:t>.</w:t>
            </w:r>
          </w:p>
        </w:tc>
        <w:tc>
          <w:tcPr>
            <w:tcW w:w="918" w:type="dxa"/>
            <w:tcMar>
              <w:top w:w="0" w:type="dxa"/>
              <w:left w:w="108" w:type="dxa"/>
              <w:bottom w:w="0" w:type="dxa"/>
              <w:right w:w="108" w:type="dxa"/>
            </w:tcMar>
            <w:vAlign w:val="center"/>
          </w:tcPr>
          <w:p w14:paraId="13D3C697" w14:textId="77777777" w:rsidR="00737259" w:rsidRPr="00CC2621" w:rsidRDefault="00737259" w:rsidP="007131C2">
            <w:pPr>
              <w:tabs>
                <w:tab w:val="left" w:pos="1276"/>
              </w:tabs>
              <w:spacing w:line="340" w:lineRule="exact"/>
              <w:jc w:val="center"/>
              <w:rPr>
                <w:rFonts w:asciiTheme="minorBidi" w:eastAsia="Calibri" w:hAnsiTheme="minorBidi"/>
                <w:sz w:val="22"/>
                <w:lang w:eastAsia="rw-RW"/>
              </w:rPr>
            </w:pPr>
            <w:r w:rsidRPr="00CC2621">
              <w:rPr>
                <w:rFonts w:asciiTheme="minorBidi" w:eastAsia="Calibri" w:hAnsiTheme="minorBidi"/>
                <w:sz w:val="22"/>
                <w:lang w:eastAsia="rw-RW"/>
              </w:rPr>
              <w:t>10</w:t>
            </w:r>
          </w:p>
        </w:tc>
      </w:tr>
      <w:tr w:rsidR="00737259" w:rsidRPr="00CC2621" w14:paraId="6A50E4B2" w14:textId="77777777" w:rsidTr="007131C2">
        <w:trPr>
          <w:trHeight w:val="314"/>
        </w:trPr>
        <w:tc>
          <w:tcPr>
            <w:tcW w:w="8217" w:type="dxa"/>
            <w:tcMar>
              <w:top w:w="0" w:type="dxa"/>
              <w:left w:w="108" w:type="dxa"/>
              <w:bottom w:w="0" w:type="dxa"/>
              <w:right w:w="108" w:type="dxa"/>
            </w:tcMar>
            <w:vAlign w:val="center"/>
            <w:hideMark/>
          </w:tcPr>
          <w:p w14:paraId="5862F97E" w14:textId="77777777" w:rsidR="00737259" w:rsidRPr="00CC2621" w:rsidRDefault="00737259" w:rsidP="007131C2">
            <w:pPr>
              <w:tabs>
                <w:tab w:val="left" w:pos="1276"/>
              </w:tabs>
              <w:spacing w:line="340" w:lineRule="exact"/>
              <w:rPr>
                <w:rFonts w:asciiTheme="minorBidi" w:hAnsiTheme="minorBidi"/>
                <w:b/>
                <w:bCs/>
                <w:sz w:val="22"/>
              </w:rPr>
            </w:pPr>
            <w:r w:rsidRPr="00CC2621">
              <w:rPr>
                <w:rFonts w:asciiTheme="minorBidi" w:hAnsiTheme="minorBidi"/>
                <w:b/>
                <w:bCs/>
                <w:sz w:val="22"/>
              </w:rPr>
              <w:t xml:space="preserve">Total note technique </w:t>
            </w:r>
          </w:p>
        </w:tc>
        <w:tc>
          <w:tcPr>
            <w:tcW w:w="918" w:type="dxa"/>
            <w:tcMar>
              <w:top w:w="0" w:type="dxa"/>
              <w:left w:w="108" w:type="dxa"/>
              <w:bottom w:w="0" w:type="dxa"/>
              <w:right w:w="108" w:type="dxa"/>
            </w:tcMar>
            <w:vAlign w:val="center"/>
            <w:hideMark/>
          </w:tcPr>
          <w:p w14:paraId="680A32EF" w14:textId="77777777" w:rsidR="00737259" w:rsidRPr="00CC2621" w:rsidRDefault="00737259" w:rsidP="007131C2">
            <w:pPr>
              <w:tabs>
                <w:tab w:val="left" w:pos="1276"/>
              </w:tabs>
              <w:spacing w:line="340" w:lineRule="exact"/>
              <w:jc w:val="center"/>
              <w:rPr>
                <w:rFonts w:asciiTheme="minorBidi" w:hAnsiTheme="minorBidi"/>
                <w:b/>
                <w:bCs/>
                <w:sz w:val="22"/>
              </w:rPr>
            </w:pPr>
            <w:r w:rsidRPr="00CC2621">
              <w:rPr>
                <w:rFonts w:asciiTheme="minorBidi" w:hAnsiTheme="minorBidi"/>
                <w:b/>
                <w:bCs/>
                <w:sz w:val="22"/>
              </w:rPr>
              <w:t>100</w:t>
            </w:r>
          </w:p>
        </w:tc>
      </w:tr>
    </w:tbl>
    <w:p w14:paraId="3C6273C1" w14:textId="77777777" w:rsidR="00737259" w:rsidRPr="00CC2621" w:rsidRDefault="00737259" w:rsidP="00737259">
      <w:pPr>
        <w:tabs>
          <w:tab w:val="left" w:pos="1276"/>
        </w:tabs>
        <w:spacing w:line="340" w:lineRule="exact"/>
        <w:rPr>
          <w:rFonts w:asciiTheme="minorBidi" w:hAnsiTheme="minorBidi"/>
          <w:bCs/>
          <w:sz w:val="22"/>
        </w:rPr>
      </w:pPr>
    </w:p>
    <w:p w14:paraId="27FF8CF4" w14:textId="77777777" w:rsidR="00737259" w:rsidRPr="00CC2621" w:rsidRDefault="00737259" w:rsidP="00737259">
      <w:pPr>
        <w:tabs>
          <w:tab w:val="left" w:pos="1276"/>
        </w:tabs>
        <w:spacing w:line="340" w:lineRule="exact"/>
        <w:rPr>
          <w:rFonts w:asciiTheme="minorBidi" w:hAnsiTheme="minorBidi"/>
          <w:bCs/>
          <w:sz w:val="22"/>
        </w:rPr>
      </w:pPr>
      <w:r w:rsidRPr="00CC2621">
        <w:rPr>
          <w:rFonts w:asciiTheme="minorBidi" w:hAnsiTheme="minorBidi"/>
          <w:bCs/>
          <w:sz w:val="22"/>
        </w:rPr>
        <w:t>Seront jugées qualifiées, les propositions techniques qui obtiendront 70% de la note maximale de 100 points ; cette note technique sera pondérée à 70%.</w:t>
      </w:r>
    </w:p>
    <w:p w14:paraId="11CF3E51" w14:textId="77777777" w:rsidR="00737259" w:rsidRPr="00CC2621" w:rsidRDefault="00737259" w:rsidP="00737259">
      <w:pPr>
        <w:tabs>
          <w:tab w:val="left" w:pos="1276"/>
        </w:tabs>
        <w:spacing w:line="340" w:lineRule="exact"/>
        <w:rPr>
          <w:rFonts w:asciiTheme="minorBidi" w:hAnsiTheme="minorBidi"/>
          <w:bCs/>
          <w:sz w:val="22"/>
        </w:rPr>
      </w:pPr>
      <w:r w:rsidRPr="00CC2621">
        <w:rPr>
          <w:rFonts w:asciiTheme="minorBidi" w:hAnsiTheme="minorBidi"/>
          <w:bCs/>
          <w:sz w:val="22"/>
        </w:rPr>
        <w:t xml:space="preserve">Dans une deuxième étape du processus d’évaluation, les enveloppes financières seront ouvertes et les offres financières comparées. </w:t>
      </w:r>
    </w:p>
    <w:p w14:paraId="56965C73" w14:textId="77777777" w:rsidR="00737259" w:rsidRPr="00CC2621" w:rsidRDefault="00737259" w:rsidP="00737259">
      <w:pPr>
        <w:tabs>
          <w:tab w:val="left" w:pos="1276"/>
        </w:tabs>
        <w:spacing w:line="340" w:lineRule="exact"/>
        <w:rPr>
          <w:rFonts w:asciiTheme="minorBidi" w:hAnsiTheme="minorBidi"/>
          <w:bCs/>
          <w:i/>
          <w:sz w:val="22"/>
        </w:rPr>
      </w:pPr>
      <w:r w:rsidRPr="00CC2621">
        <w:rPr>
          <w:rFonts w:asciiTheme="minorBidi" w:hAnsiTheme="minorBidi"/>
          <w:bCs/>
          <w:sz w:val="22"/>
        </w:rPr>
        <w:lastRenderedPageBreak/>
        <w:t xml:space="preserve">Le marché ou le contrat sera attribué au consultant ayant présenté le meilleur score combiné - rapport qualité/prix, évaluation cumulative - (Technique pondérée à 70% + Financière à 30%). </w:t>
      </w:r>
      <w:r w:rsidRPr="00CC2621">
        <w:rPr>
          <w:rFonts w:asciiTheme="minorBidi" w:hAnsiTheme="minorBidi"/>
          <w:bCs/>
          <w:i/>
          <w:sz w:val="22"/>
        </w:rPr>
        <w:t xml:space="preserve">Cette note financière combinée à 30% est calculée pour chaque proposition sur la base de la formule suivante : </w:t>
      </w:r>
    </w:p>
    <w:p w14:paraId="61659C5D" w14:textId="77777777" w:rsidR="00737259" w:rsidRPr="00CC2621" w:rsidRDefault="00737259" w:rsidP="00737259">
      <w:pPr>
        <w:tabs>
          <w:tab w:val="left" w:pos="1276"/>
        </w:tabs>
        <w:spacing w:line="340" w:lineRule="exact"/>
        <w:rPr>
          <w:rFonts w:asciiTheme="minorBidi" w:hAnsiTheme="minorBidi"/>
          <w:bCs/>
          <w:i/>
          <w:sz w:val="22"/>
        </w:rPr>
      </w:pPr>
      <w:r w:rsidRPr="00CC2621">
        <w:rPr>
          <w:rFonts w:asciiTheme="minorBidi" w:hAnsiTheme="minorBidi"/>
          <w:bCs/>
          <w:i/>
          <w:sz w:val="22"/>
        </w:rPr>
        <w:t xml:space="preserve">Note financière A = [(Offre financière la moins </w:t>
      </w:r>
      <w:proofErr w:type="spellStart"/>
      <w:proofErr w:type="gramStart"/>
      <w:r w:rsidRPr="00CC2621">
        <w:rPr>
          <w:rFonts w:asciiTheme="minorBidi" w:hAnsiTheme="minorBidi"/>
          <w:bCs/>
          <w:i/>
          <w:sz w:val="22"/>
        </w:rPr>
        <w:t>disante</w:t>
      </w:r>
      <w:proofErr w:type="spellEnd"/>
      <w:r w:rsidRPr="00CC2621">
        <w:rPr>
          <w:rFonts w:asciiTheme="minorBidi" w:hAnsiTheme="minorBidi"/>
          <w:bCs/>
          <w:i/>
          <w:sz w:val="22"/>
        </w:rPr>
        <w:t>)/</w:t>
      </w:r>
      <w:proofErr w:type="gramEnd"/>
      <w:r w:rsidRPr="00CC2621">
        <w:rPr>
          <w:rFonts w:asciiTheme="minorBidi" w:hAnsiTheme="minorBidi"/>
          <w:bCs/>
          <w:i/>
          <w:sz w:val="22"/>
        </w:rPr>
        <w:t xml:space="preserve">Offre financière de A] x 30. </w:t>
      </w:r>
    </w:p>
    <w:p w14:paraId="122C8DE7" w14:textId="77777777" w:rsidR="00737259" w:rsidRPr="00CC2621" w:rsidRDefault="00737259" w:rsidP="00737259">
      <w:pPr>
        <w:pStyle w:val="Titre1"/>
        <w:rPr>
          <w:rFonts w:asciiTheme="minorBidi" w:hAnsiTheme="minorBidi" w:cstheme="minorBidi"/>
          <w:sz w:val="22"/>
          <w:szCs w:val="22"/>
        </w:rPr>
      </w:pPr>
      <w:r w:rsidRPr="00CC2621">
        <w:rPr>
          <w:rFonts w:asciiTheme="minorBidi" w:hAnsiTheme="minorBidi" w:cstheme="minorBidi"/>
          <w:sz w:val="22"/>
          <w:szCs w:val="22"/>
        </w:rPr>
        <w:t xml:space="preserve">Jalons de paiement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5068"/>
        <w:gridCol w:w="1201"/>
        <w:gridCol w:w="1473"/>
      </w:tblGrid>
      <w:tr w:rsidR="00737259" w:rsidRPr="00CC2621" w14:paraId="0B1307D2" w14:textId="77777777" w:rsidTr="002105DE">
        <w:trPr>
          <w:trHeight w:val="659"/>
          <w:tblHeader/>
        </w:trPr>
        <w:tc>
          <w:tcPr>
            <w:tcW w:w="1626" w:type="dxa"/>
            <w:shd w:val="clear" w:color="auto" w:fill="auto"/>
            <w:vAlign w:val="center"/>
            <w:hideMark/>
          </w:tcPr>
          <w:p w14:paraId="524CA2E5" w14:textId="77777777" w:rsidR="00737259" w:rsidRPr="00CC2621" w:rsidRDefault="00737259" w:rsidP="007131C2">
            <w:pPr>
              <w:tabs>
                <w:tab w:val="left" w:pos="1276"/>
              </w:tabs>
              <w:spacing w:line="340" w:lineRule="exact"/>
              <w:jc w:val="center"/>
              <w:rPr>
                <w:rFonts w:asciiTheme="minorBidi" w:hAnsiTheme="minorBidi"/>
                <w:b/>
                <w:bCs/>
                <w:sz w:val="22"/>
              </w:rPr>
            </w:pPr>
            <w:r w:rsidRPr="00CC2621">
              <w:rPr>
                <w:rFonts w:asciiTheme="minorBidi" w:hAnsiTheme="minorBidi"/>
                <w:b/>
                <w:bCs/>
                <w:sz w:val="22"/>
              </w:rPr>
              <w:t>Livrables</w:t>
            </w:r>
          </w:p>
        </w:tc>
        <w:tc>
          <w:tcPr>
            <w:tcW w:w="5103" w:type="dxa"/>
          </w:tcPr>
          <w:p w14:paraId="61120C12" w14:textId="77777777" w:rsidR="00737259" w:rsidRPr="00CC2621" w:rsidRDefault="00737259" w:rsidP="007131C2">
            <w:pPr>
              <w:tabs>
                <w:tab w:val="left" w:pos="1276"/>
              </w:tabs>
              <w:spacing w:line="340" w:lineRule="exact"/>
              <w:jc w:val="center"/>
              <w:rPr>
                <w:rFonts w:asciiTheme="minorBidi" w:hAnsiTheme="minorBidi"/>
                <w:b/>
                <w:bCs/>
                <w:sz w:val="22"/>
              </w:rPr>
            </w:pPr>
            <w:r w:rsidRPr="00CC2621">
              <w:rPr>
                <w:rFonts w:asciiTheme="minorBidi" w:hAnsiTheme="minorBidi"/>
                <w:b/>
                <w:bCs/>
                <w:sz w:val="22"/>
              </w:rPr>
              <w:t>Principaux critères de qualité / Documents à fournir</w:t>
            </w:r>
          </w:p>
        </w:tc>
        <w:tc>
          <w:tcPr>
            <w:tcW w:w="1204" w:type="dxa"/>
            <w:shd w:val="clear" w:color="auto" w:fill="auto"/>
            <w:vAlign w:val="center"/>
            <w:hideMark/>
          </w:tcPr>
          <w:p w14:paraId="0C66096D" w14:textId="77777777" w:rsidR="00737259" w:rsidRPr="00CC2621" w:rsidRDefault="00737259" w:rsidP="007131C2">
            <w:pPr>
              <w:tabs>
                <w:tab w:val="left" w:pos="1276"/>
              </w:tabs>
              <w:spacing w:line="340" w:lineRule="exact"/>
              <w:jc w:val="center"/>
              <w:rPr>
                <w:rFonts w:asciiTheme="minorBidi" w:hAnsiTheme="minorBidi"/>
                <w:b/>
                <w:bCs/>
                <w:sz w:val="22"/>
              </w:rPr>
            </w:pPr>
            <w:r w:rsidRPr="00CC2621">
              <w:rPr>
                <w:rFonts w:asciiTheme="minorBidi" w:hAnsiTheme="minorBidi"/>
                <w:b/>
                <w:bCs/>
                <w:sz w:val="22"/>
              </w:rPr>
              <w:t>Délai en jours</w:t>
            </w:r>
          </w:p>
        </w:tc>
        <w:tc>
          <w:tcPr>
            <w:tcW w:w="1429" w:type="dxa"/>
            <w:shd w:val="clear" w:color="auto" w:fill="auto"/>
            <w:vAlign w:val="center"/>
            <w:hideMark/>
          </w:tcPr>
          <w:p w14:paraId="418449E1" w14:textId="77777777" w:rsidR="00737259" w:rsidRPr="00CC2621" w:rsidRDefault="00737259" w:rsidP="007131C2">
            <w:pPr>
              <w:tabs>
                <w:tab w:val="left" w:pos="1276"/>
              </w:tabs>
              <w:spacing w:line="340" w:lineRule="exact"/>
              <w:jc w:val="center"/>
              <w:rPr>
                <w:rFonts w:asciiTheme="minorBidi" w:hAnsiTheme="minorBidi"/>
                <w:b/>
                <w:bCs/>
                <w:sz w:val="22"/>
              </w:rPr>
            </w:pPr>
            <w:r w:rsidRPr="00CC2621">
              <w:rPr>
                <w:rFonts w:asciiTheme="minorBidi" w:hAnsiTheme="minorBidi"/>
                <w:b/>
                <w:bCs/>
                <w:sz w:val="22"/>
              </w:rPr>
              <w:t>Pourcentage de paiement</w:t>
            </w:r>
          </w:p>
        </w:tc>
      </w:tr>
      <w:tr w:rsidR="00737259" w:rsidRPr="00CC2621" w14:paraId="5885EF65" w14:textId="77777777" w:rsidTr="007131C2">
        <w:trPr>
          <w:trHeight w:val="765"/>
        </w:trPr>
        <w:tc>
          <w:tcPr>
            <w:tcW w:w="1626" w:type="dxa"/>
            <w:shd w:val="clear" w:color="auto" w:fill="auto"/>
            <w:vAlign w:val="center"/>
            <w:hideMark/>
          </w:tcPr>
          <w:p w14:paraId="741FB6E9" w14:textId="77777777" w:rsidR="00737259" w:rsidRPr="00CC2621" w:rsidRDefault="00737259" w:rsidP="007131C2">
            <w:pPr>
              <w:tabs>
                <w:tab w:val="left" w:pos="1276"/>
              </w:tabs>
              <w:spacing w:line="340" w:lineRule="exact"/>
              <w:rPr>
                <w:rFonts w:asciiTheme="minorBidi" w:hAnsiTheme="minorBidi"/>
                <w:b/>
                <w:bCs/>
                <w:sz w:val="22"/>
              </w:rPr>
            </w:pPr>
            <w:r w:rsidRPr="00CC2621">
              <w:rPr>
                <w:rFonts w:asciiTheme="minorBidi" w:hAnsiTheme="minorBidi"/>
                <w:b/>
                <w:bCs/>
                <w:sz w:val="22"/>
              </w:rPr>
              <w:t>1</w:t>
            </w:r>
            <w:r w:rsidRPr="00CC2621">
              <w:rPr>
                <w:rFonts w:asciiTheme="minorBidi" w:hAnsiTheme="minorBidi"/>
                <w:b/>
                <w:bCs/>
                <w:sz w:val="22"/>
                <w:vertAlign w:val="superscript"/>
              </w:rPr>
              <w:t>ère</w:t>
            </w:r>
            <w:r w:rsidRPr="00CC2621">
              <w:rPr>
                <w:rFonts w:asciiTheme="minorBidi" w:hAnsiTheme="minorBidi"/>
                <w:b/>
                <w:bCs/>
                <w:sz w:val="22"/>
              </w:rPr>
              <w:t xml:space="preserve"> Tranche </w:t>
            </w:r>
          </w:p>
        </w:tc>
        <w:tc>
          <w:tcPr>
            <w:tcW w:w="5103" w:type="dxa"/>
          </w:tcPr>
          <w:p w14:paraId="7FB90E9D" w14:textId="18A3278C" w:rsidR="00737259" w:rsidRPr="00CC2621" w:rsidRDefault="002105DE" w:rsidP="007131C2">
            <w:pPr>
              <w:tabs>
                <w:tab w:val="left" w:pos="1276"/>
              </w:tabs>
              <w:spacing w:line="340" w:lineRule="exact"/>
              <w:rPr>
                <w:rFonts w:asciiTheme="minorBidi" w:hAnsiTheme="minorBidi"/>
                <w:bCs/>
                <w:sz w:val="22"/>
              </w:rPr>
            </w:pPr>
            <w:r w:rsidRPr="00CC2621">
              <w:rPr>
                <w:rFonts w:asciiTheme="minorBidi" w:hAnsiTheme="minorBidi"/>
                <w:bCs/>
                <w:sz w:val="22"/>
              </w:rPr>
              <w:t>Rapport de démarrage du projet de renforcement de capacité incluant le plan d’intervention du groupe de consultant</w:t>
            </w:r>
          </w:p>
        </w:tc>
        <w:tc>
          <w:tcPr>
            <w:tcW w:w="1204" w:type="dxa"/>
            <w:shd w:val="clear" w:color="auto" w:fill="auto"/>
            <w:vAlign w:val="center"/>
            <w:hideMark/>
          </w:tcPr>
          <w:p w14:paraId="7972948B" w14:textId="77777777" w:rsidR="00737259" w:rsidRPr="00CC2621" w:rsidRDefault="00737259" w:rsidP="007131C2">
            <w:pPr>
              <w:tabs>
                <w:tab w:val="left" w:pos="1276"/>
              </w:tabs>
              <w:spacing w:line="340" w:lineRule="exact"/>
              <w:rPr>
                <w:rFonts w:asciiTheme="minorBidi" w:hAnsiTheme="minorBidi"/>
                <w:bCs/>
                <w:sz w:val="22"/>
              </w:rPr>
            </w:pPr>
            <w:r w:rsidRPr="00CC2621">
              <w:rPr>
                <w:rFonts w:asciiTheme="minorBidi" w:hAnsiTheme="minorBidi"/>
                <w:bCs/>
                <w:sz w:val="22"/>
              </w:rPr>
              <w:t>5</w:t>
            </w:r>
            <w:r w:rsidRPr="00CC2621">
              <w:rPr>
                <w:rFonts w:asciiTheme="minorBidi" w:hAnsiTheme="minorBidi"/>
                <w:bCs/>
                <w:sz w:val="22"/>
                <w:vertAlign w:val="superscript"/>
              </w:rPr>
              <w:t>è</w:t>
            </w:r>
            <w:r w:rsidRPr="00CC2621">
              <w:rPr>
                <w:rFonts w:asciiTheme="minorBidi" w:hAnsiTheme="minorBidi"/>
                <w:bCs/>
                <w:sz w:val="22"/>
              </w:rPr>
              <w:t xml:space="preserve"> jour travaillé</w:t>
            </w:r>
          </w:p>
        </w:tc>
        <w:tc>
          <w:tcPr>
            <w:tcW w:w="1429" w:type="dxa"/>
            <w:shd w:val="clear" w:color="auto" w:fill="auto"/>
            <w:vAlign w:val="center"/>
            <w:hideMark/>
          </w:tcPr>
          <w:p w14:paraId="3BB98DE9" w14:textId="77777777" w:rsidR="00737259" w:rsidRPr="00CC2621" w:rsidRDefault="00737259" w:rsidP="007131C2">
            <w:pPr>
              <w:tabs>
                <w:tab w:val="left" w:pos="1276"/>
              </w:tabs>
              <w:spacing w:line="340" w:lineRule="exact"/>
              <w:jc w:val="center"/>
              <w:rPr>
                <w:rFonts w:asciiTheme="minorBidi" w:hAnsiTheme="minorBidi"/>
                <w:bCs/>
                <w:sz w:val="22"/>
              </w:rPr>
            </w:pPr>
            <w:r w:rsidRPr="00CC2621">
              <w:rPr>
                <w:rFonts w:asciiTheme="minorBidi" w:hAnsiTheme="minorBidi"/>
                <w:bCs/>
                <w:sz w:val="22"/>
              </w:rPr>
              <w:t>20%</w:t>
            </w:r>
          </w:p>
        </w:tc>
      </w:tr>
      <w:tr w:rsidR="00737259" w:rsidRPr="00CC2621" w14:paraId="52BD8E64" w14:textId="77777777" w:rsidTr="007131C2">
        <w:trPr>
          <w:trHeight w:val="765"/>
        </w:trPr>
        <w:tc>
          <w:tcPr>
            <w:tcW w:w="1626" w:type="dxa"/>
            <w:shd w:val="clear" w:color="auto" w:fill="auto"/>
            <w:vAlign w:val="center"/>
            <w:hideMark/>
          </w:tcPr>
          <w:p w14:paraId="253DE809" w14:textId="77777777" w:rsidR="00737259" w:rsidRPr="00CC2621" w:rsidRDefault="00737259" w:rsidP="007131C2">
            <w:pPr>
              <w:tabs>
                <w:tab w:val="left" w:pos="1276"/>
              </w:tabs>
              <w:spacing w:line="340" w:lineRule="exact"/>
              <w:rPr>
                <w:rFonts w:asciiTheme="minorBidi" w:hAnsiTheme="minorBidi"/>
                <w:b/>
                <w:bCs/>
                <w:sz w:val="22"/>
              </w:rPr>
            </w:pPr>
            <w:r w:rsidRPr="00CC2621">
              <w:rPr>
                <w:rFonts w:asciiTheme="minorBidi" w:hAnsiTheme="minorBidi"/>
                <w:b/>
                <w:bCs/>
                <w:sz w:val="22"/>
              </w:rPr>
              <w:t>2</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52FB5BCA" w14:textId="615C8A24" w:rsidR="00737259" w:rsidRPr="00CC2621" w:rsidRDefault="002105DE" w:rsidP="00737259">
            <w:pPr>
              <w:rPr>
                <w:rFonts w:asciiTheme="minorBidi" w:hAnsiTheme="minorBidi"/>
                <w:sz w:val="22"/>
              </w:rPr>
            </w:pPr>
            <w:r w:rsidRPr="00CC2621">
              <w:rPr>
                <w:rFonts w:asciiTheme="minorBidi" w:hAnsiTheme="minorBidi"/>
                <w:sz w:val="22"/>
              </w:rPr>
              <w:t>Rapport présentant les bonnes pratiques au niveau international, un état des lieux de la budgétisation au sein du MEED au niveau central et régional, des recommandations et une feuille de route</w:t>
            </w:r>
          </w:p>
        </w:tc>
        <w:tc>
          <w:tcPr>
            <w:tcW w:w="1204" w:type="dxa"/>
            <w:shd w:val="clear" w:color="auto" w:fill="auto"/>
            <w:vAlign w:val="center"/>
            <w:hideMark/>
          </w:tcPr>
          <w:p w14:paraId="0FFD28E8" w14:textId="0E0C1496" w:rsidR="00737259" w:rsidRPr="00CC2621" w:rsidRDefault="00737259" w:rsidP="007131C2">
            <w:pPr>
              <w:tabs>
                <w:tab w:val="left" w:pos="1276"/>
              </w:tabs>
              <w:spacing w:line="340" w:lineRule="exact"/>
              <w:rPr>
                <w:rFonts w:asciiTheme="minorBidi" w:hAnsiTheme="minorBidi"/>
                <w:bCs/>
                <w:sz w:val="22"/>
              </w:rPr>
            </w:pPr>
          </w:p>
        </w:tc>
        <w:tc>
          <w:tcPr>
            <w:tcW w:w="1429" w:type="dxa"/>
            <w:shd w:val="clear" w:color="auto" w:fill="auto"/>
            <w:vAlign w:val="center"/>
            <w:hideMark/>
          </w:tcPr>
          <w:p w14:paraId="7E16FB8F" w14:textId="16DC9965" w:rsidR="00737259" w:rsidRPr="00CC2621" w:rsidRDefault="00CC2621" w:rsidP="007131C2">
            <w:pPr>
              <w:tabs>
                <w:tab w:val="left" w:pos="1276"/>
              </w:tabs>
              <w:spacing w:line="340" w:lineRule="exact"/>
              <w:jc w:val="center"/>
              <w:rPr>
                <w:rFonts w:asciiTheme="minorBidi" w:hAnsiTheme="minorBidi"/>
                <w:bCs/>
                <w:sz w:val="22"/>
              </w:rPr>
            </w:pPr>
            <w:r w:rsidRPr="00CC2621">
              <w:rPr>
                <w:rFonts w:asciiTheme="minorBidi" w:hAnsiTheme="minorBidi"/>
                <w:bCs/>
                <w:sz w:val="22"/>
              </w:rPr>
              <w:t>1</w:t>
            </w:r>
            <w:r w:rsidR="00737259" w:rsidRPr="00CC2621">
              <w:rPr>
                <w:rFonts w:asciiTheme="minorBidi" w:hAnsiTheme="minorBidi"/>
                <w:bCs/>
                <w:sz w:val="22"/>
              </w:rPr>
              <w:t>0%</w:t>
            </w:r>
          </w:p>
        </w:tc>
      </w:tr>
      <w:tr w:rsidR="00737259" w:rsidRPr="00CC2621" w14:paraId="44642826" w14:textId="77777777" w:rsidTr="007131C2">
        <w:trPr>
          <w:trHeight w:val="765"/>
        </w:trPr>
        <w:tc>
          <w:tcPr>
            <w:tcW w:w="1626" w:type="dxa"/>
            <w:shd w:val="clear" w:color="auto" w:fill="auto"/>
            <w:vAlign w:val="center"/>
          </w:tcPr>
          <w:p w14:paraId="4D0C6C77" w14:textId="77777777" w:rsidR="00737259" w:rsidRPr="00CC2621" w:rsidRDefault="00737259" w:rsidP="007131C2">
            <w:pPr>
              <w:tabs>
                <w:tab w:val="left" w:pos="1276"/>
              </w:tabs>
              <w:spacing w:line="340" w:lineRule="exact"/>
              <w:rPr>
                <w:rFonts w:asciiTheme="minorBidi" w:hAnsiTheme="minorBidi"/>
                <w:b/>
                <w:bCs/>
                <w:sz w:val="22"/>
              </w:rPr>
            </w:pPr>
            <w:r w:rsidRPr="00CC2621">
              <w:rPr>
                <w:rFonts w:asciiTheme="minorBidi" w:hAnsiTheme="minorBidi"/>
                <w:b/>
                <w:bCs/>
                <w:sz w:val="22"/>
              </w:rPr>
              <w:t>3</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70A9FEC6" w14:textId="45D18F39" w:rsidR="00737259" w:rsidRPr="00CC2621" w:rsidRDefault="002105DE" w:rsidP="007131C2">
            <w:pPr>
              <w:tabs>
                <w:tab w:val="left" w:pos="1276"/>
              </w:tabs>
              <w:spacing w:line="340" w:lineRule="exact"/>
              <w:rPr>
                <w:rFonts w:asciiTheme="minorBidi" w:hAnsiTheme="minorBidi"/>
                <w:bCs/>
                <w:sz w:val="22"/>
              </w:rPr>
            </w:pPr>
            <w:r w:rsidRPr="00CC2621">
              <w:rPr>
                <w:rFonts w:asciiTheme="minorBidi" w:hAnsiTheme="minorBidi"/>
                <w:bCs/>
                <w:sz w:val="22"/>
              </w:rPr>
              <w:t>Rapport d’élaboration de manuel des procédures et des modalités à suivre pour une budgétisation accès sur les résultats pour MEDD au niveau central et régional</w:t>
            </w:r>
          </w:p>
        </w:tc>
        <w:tc>
          <w:tcPr>
            <w:tcW w:w="1204" w:type="dxa"/>
            <w:shd w:val="clear" w:color="auto" w:fill="auto"/>
            <w:vAlign w:val="center"/>
          </w:tcPr>
          <w:p w14:paraId="449FE133" w14:textId="429499D2" w:rsidR="00737259" w:rsidRPr="00CC2621" w:rsidRDefault="00737259" w:rsidP="007131C2">
            <w:pPr>
              <w:tabs>
                <w:tab w:val="left" w:pos="1276"/>
              </w:tabs>
              <w:spacing w:line="340" w:lineRule="exact"/>
              <w:rPr>
                <w:rFonts w:asciiTheme="minorBidi" w:hAnsiTheme="minorBidi"/>
                <w:bCs/>
                <w:sz w:val="22"/>
              </w:rPr>
            </w:pPr>
            <w:proofErr w:type="spellStart"/>
            <w:proofErr w:type="gramStart"/>
            <w:r w:rsidRPr="00CC2621">
              <w:rPr>
                <w:rFonts w:asciiTheme="minorBidi" w:hAnsiTheme="minorBidi"/>
                <w:bCs/>
                <w:sz w:val="22"/>
              </w:rPr>
              <w:t>uu</w:t>
            </w:r>
            <w:proofErr w:type="spellEnd"/>
            <w:proofErr w:type="gramEnd"/>
          </w:p>
        </w:tc>
        <w:tc>
          <w:tcPr>
            <w:tcW w:w="1429" w:type="dxa"/>
            <w:shd w:val="clear" w:color="auto" w:fill="auto"/>
            <w:vAlign w:val="center"/>
          </w:tcPr>
          <w:p w14:paraId="448F3153" w14:textId="1110F4C6" w:rsidR="00737259" w:rsidRPr="00CC2621" w:rsidRDefault="00CC2621" w:rsidP="007131C2">
            <w:pPr>
              <w:tabs>
                <w:tab w:val="left" w:pos="1276"/>
              </w:tabs>
              <w:spacing w:line="340" w:lineRule="exact"/>
              <w:jc w:val="center"/>
              <w:rPr>
                <w:rFonts w:asciiTheme="minorBidi" w:hAnsiTheme="minorBidi"/>
                <w:bCs/>
                <w:sz w:val="22"/>
              </w:rPr>
            </w:pPr>
            <w:r w:rsidRPr="00CC2621">
              <w:rPr>
                <w:rFonts w:asciiTheme="minorBidi" w:hAnsiTheme="minorBidi"/>
                <w:bCs/>
                <w:sz w:val="22"/>
              </w:rPr>
              <w:t>1</w:t>
            </w:r>
            <w:r w:rsidR="00737259" w:rsidRPr="00CC2621">
              <w:rPr>
                <w:rFonts w:asciiTheme="minorBidi" w:hAnsiTheme="minorBidi"/>
                <w:bCs/>
                <w:sz w:val="22"/>
              </w:rPr>
              <w:t>0%</w:t>
            </w:r>
          </w:p>
        </w:tc>
      </w:tr>
      <w:tr w:rsidR="00737259" w:rsidRPr="00CC2621" w14:paraId="11059FBB" w14:textId="77777777" w:rsidTr="007131C2">
        <w:trPr>
          <w:trHeight w:val="765"/>
        </w:trPr>
        <w:tc>
          <w:tcPr>
            <w:tcW w:w="1626" w:type="dxa"/>
            <w:shd w:val="clear" w:color="auto" w:fill="auto"/>
            <w:vAlign w:val="center"/>
          </w:tcPr>
          <w:p w14:paraId="51652254" w14:textId="77777777" w:rsidR="00737259" w:rsidRPr="00CC2621" w:rsidRDefault="00737259" w:rsidP="007131C2">
            <w:pPr>
              <w:tabs>
                <w:tab w:val="left" w:pos="1276"/>
              </w:tabs>
              <w:spacing w:line="340" w:lineRule="exact"/>
              <w:rPr>
                <w:rFonts w:asciiTheme="minorBidi" w:hAnsiTheme="minorBidi"/>
                <w:b/>
                <w:bCs/>
                <w:sz w:val="22"/>
              </w:rPr>
            </w:pPr>
            <w:r w:rsidRPr="00CC2621">
              <w:rPr>
                <w:rFonts w:asciiTheme="minorBidi" w:hAnsiTheme="minorBidi"/>
                <w:b/>
                <w:bCs/>
                <w:sz w:val="22"/>
              </w:rPr>
              <w:t>4</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2FE2D944" w14:textId="57433A81" w:rsidR="00737259" w:rsidRPr="00CC2621" w:rsidRDefault="002105DE" w:rsidP="007131C2">
            <w:pPr>
              <w:tabs>
                <w:tab w:val="left" w:pos="1276"/>
              </w:tabs>
              <w:spacing w:line="340" w:lineRule="exact"/>
              <w:rPr>
                <w:rFonts w:asciiTheme="minorBidi" w:hAnsiTheme="minorBidi"/>
                <w:bCs/>
                <w:sz w:val="22"/>
              </w:rPr>
            </w:pPr>
            <w:r w:rsidRPr="00CC2621">
              <w:rPr>
                <w:rFonts w:asciiTheme="minorBidi" w:hAnsiTheme="minorBidi"/>
                <w:bCs/>
                <w:sz w:val="22"/>
              </w:rPr>
              <w:t xml:space="preserve">Rapport présentant les besoins en renforcement des capacités au niveau central et régional, un programme de formation et les modules de formations appropriés  </w:t>
            </w:r>
          </w:p>
        </w:tc>
        <w:tc>
          <w:tcPr>
            <w:tcW w:w="1204" w:type="dxa"/>
            <w:shd w:val="clear" w:color="auto" w:fill="auto"/>
            <w:vAlign w:val="center"/>
          </w:tcPr>
          <w:p w14:paraId="2CB5DCFF" w14:textId="77777777" w:rsidR="00737259" w:rsidRPr="00CC2621" w:rsidRDefault="00737259" w:rsidP="007131C2">
            <w:pPr>
              <w:tabs>
                <w:tab w:val="left" w:pos="1276"/>
              </w:tabs>
              <w:spacing w:line="340" w:lineRule="exact"/>
              <w:rPr>
                <w:rFonts w:asciiTheme="minorBidi" w:hAnsiTheme="minorBidi"/>
                <w:bCs/>
                <w:sz w:val="22"/>
              </w:rPr>
            </w:pPr>
            <w:r w:rsidRPr="00CC2621">
              <w:rPr>
                <w:rFonts w:asciiTheme="minorBidi" w:hAnsiTheme="minorBidi"/>
                <w:bCs/>
                <w:sz w:val="22"/>
              </w:rPr>
              <w:t>60</w:t>
            </w:r>
            <w:r w:rsidRPr="00CC2621">
              <w:rPr>
                <w:rFonts w:asciiTheme="minorBidi" w:hAnsiTheme="minorBidi"/>
                <w:bCs/>
                <w:sz w:val="22"/>
                <w:vertAlign w:val="superscript"/>
              </w:rPr>
              <w:t>è</w:t>
            </w:r>
            <w:r w:rsidRPr="00CC2621">
              <w:rPr>
                <w:rFonts w:asciiTheme="minorBidi" w:hAnsiTheme="minorBidi"/>
                <w:bCs/>
                <w:sz w:val="22"/>
              </w:rPr>
              <w:t xml:space="preserve"> jour travaillé</w:t>
            </w:r>
          </w:p>
        </w:tc>
        <w:tc>
          <w:tcPr>
            <w:tcW w:w="1429" w:type="dxa"/>
            <w:shd w:val="clear" w:color="auto" w:fill="auto"/>
            <w:vAlign w:val="center"/>
          </w:tcPr>
          <w:p w14:paraId="57EBED90" w14:textId="0B3201DE" w:rsidR="00737259" w:rsidRPr="00CC2621" w:rsidRDefault="00CC2621" w:rsidP="007131C2">
            <w:pPr>
              <w:tabs>
                <w:tab w:val="left" w:pos="1276"/>
              </w:tabs>
              <w:spacing w:line="340" w:lineRule="exact"/>
              <w:jc w:val="center"/>
              <w:rPr>
                <w:rFonts w:asciiTheme="minorBidi" w:hAnsiTheme="minorBidi"/>
                <w:bCs/>
                <w:sz w:val="22"/>
              </w:rPr>
            </w:pPr>
            <w:r w:rsidRPr="00CC2621">
              <w:rPr>
                <w:rFonts w:asciiTheme="minorBidi" w:hAnsiTheme="minorBidi"/>
                <w:bCs/>
                <w:sz w:val="22"/>
              </w:rPr>
              <w:t>10</w:t>
            </w:r>
            <w:r w:rsidR="00737259" w:rsidRPr="00CC2621">
              <w:rPr>
                <w:rFonts w:asciiTheme="minorBidi" w:hAnsiTheme="minorBidi"/>
                <w:bCs/>
                <w:sz w:val="22"/>
              </w:rPr>
              <w:t>%</w:t>
            </w:r>
          </w:p>
        </w:tc>
      </w:tr>
      <w:tr w:rsidR="002105DE" w:rsidRPr="00CC2621" w14:paraId="26CC9575" w14:textId="77777777" w:rsidTr="007131C2">
        <w:trPr>
          <w:trHeight w:val="765"/>
        </w:trPr>
        <w:tc>
          <w:tcPr>
            <w:tcW w:w="1626" w:type="dxa"/>
            <w:shd w:val="clear" w:color="auto" w:fill="auto"/>
            <w:vAlign w:val="center"/>
          </w:tcPr>
          <w:p w14:paraId="6606EA1A" w14:textId="064F5D15" w:rsidR="002105DE" w:rsidRPr="00CC2621" w:rsidRDefault="002105DE" w:rsidP="002105DE">
            <w:pPr>
              <w:tabs>
                <w:tab w:val="left" w:pos="1276"/>
              </w:tabs>
              <w:spacing w:line="340" w:lineRule="exact"/>
              <w:rPr>
                <w:rFonts w:asciiTheme="minorBidi" w:hAnsiTheme="minorBidi"/>
                <w:b/>
                <w:bCs/>
                <w:sz w:val="22"/>
              </w:rPr>
            </w:pPr>
            <w:r w:rsidRPr="00CC2621">
              <w:rPr>
                <w:rFonts w:asciiTheme="minorBidi" w:hAnsiTheme="minorBidi"/>
                <w:b/>
                <w:bCs/>
                <w:sz w:val="22"/>
              </w:rPr>
              <w:t>5</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324FDD29" w14:textId="1B7ADA08" w:rsidR="002105DE" w:rsidRPr="00CC2621" w:rsidRDefault="002105DE" w:rsidP="002105DE">
            <w:pPr>
              <w:tabs>
                <w:tab w:val="left" w:pos="1276"/>
              </w:tabs>
              <w:spacing w:line="340" w:lineRule="exact"/>
              <w:rPr>
                <w:rFonts w:asciiTheme="minorBidi" w:hAnsiTheme="minorBidi"/>
                <w:bCs/>
                <w:sz w:val="22"/>
              </w:rPr>
            </w:pPr>
            <w:r w:rsidRPr="00CC2621">
              <w:rPr>
                <w:rFonts w:asciiTheme="minorBidi" w:hAnsiTheme="minorBidi"/>
                <w:bCs/>
                <w:sz w:val="22"/>
              </w:rPr>
              <w:t>Rapport d’élaboration des modules de formations à prodiguer aux techniciens du MEDD</w:t>
            </w:r>
          </w:p>
        </w:tc>
        <w:tc>
          <w:tcPr>
            <w:tcW w:w="1204" w:type="dxa"/>
            <w:shd w:val="clear" w:color="auto" w:fill="auto"/>
            <w:vAlign w:val="center"/>
          </w:tcPr>
          <w:p w14:paraId="3CE42F15" w14:textId="77777777" w:rsidR="002105DE" w:rsidRPr="00CC2621" w:rsidRDefault="002105DE" w:rsidP="002105DE">
            <w:pPr>
              <w:tabs>
                <w:tab w:val="left" w:pos="1276"/>
              </w:tabs>
              <w:spacing w:line="340" w:lineRule="exact"/>
              <w:rPr>
                <w:rFonts w:asciiTheme="minorBidi" w:hAnsiTheme="minorBidi"/>
                <w:bCs/>
                <w:sz w:val="22"/>
              </w:rPr>
            </w:pPr>
          </w:p>
        </w:tc>
        <w:tc>
          <w:tcPr>
            <w:tcW w:w="1429" w:type="dxa"/>
            <w:shd w:val="clear" w:color="auto" w:fill="auto"/>
            <w:vAlign w:val="center"/>
          </w:tcPr>
          <w:p w14:paraId="18EF1385" w14:textId="7A2872A2" w:rsidR="002105DE" w:rsidRPr="00CC2621" w:rsidRDefault="00CC2621" w:rsidP="002105DE">
            <w:pPr>
              <w:tabs>
                <w:tab w:val="left" w:pos="1276"/>
              </w:tabs>
              <w:spacing w:line="340" w:lineRule="exact"/>
              <w:jc w:val="center"/>
              <w:rPr>
                <w:rFonts w:asciiTheme="minorBidi" w:hAnsiTheme="minorBidi"/>
                <w:bCs/>
                <w:sz w:val="22"/>
              </w:rPr>
            </w:pPr>
            <w:r w:rsidRPr="00CC2621">
              <w:rPr>
                <w:rFonts w:asciiTheme="minorBidi" w:hAnsiTheme="minorBidi"/>
                <w:bCs/>
                <w:sz w:val="22"/>
              </w:rPr>
              <w:t>10%</w:t>
            </w:r>
          </w:p>
        </w:tc>
      </w:tr>
      <w:tr w:rsidR="002105DE" w:rsidRPr="00CC2621" w14:paraId="6C94F457" w14:textId="77777777" w:rsidTr="007131C2">
        <w:trPr>
          <w:trHeight w:val="765"/>
        </w:trPr>
        <w:tc>
          <w:tcPr>
            <w:tcW w:w="1626" w:type="dxa"/>
            <w:shd w:val="clear" w:color="auto" w:fill="auto"/>
            <w:vAlign w:val="center"/>
          </w:tcPr>
          <w:p w14:paraId="4DA7D820" w14:textId="4499A8B8" w:rsidR="002105DE" w:rsidRPr="00CC2621" w:rsidRDefault="002105DE" w:rsidP="002105DE">
            <w:pPr>
              <w:tabs>
                <w:tab w:val="left" w:pos="1276"/>
              </w:tabs>
              <w:spacing w:line="340" w:lineRule="exact"/>
              <w:rPr>
                <w:rFonts w:asciiTheme="minorBidi" w:hAnsiTheme="minorBidi"/>
                <w:b/>
                <w:bCs/>
                <w:sz w:val="22"/>
              </w:rPr>
            </w:pPr>
            <w:r w:rsidRPr="00CC2621">
              <w:rPr>
                <w:rFonts w:asciiTheme="minorBidi" w:hAnsiTheme="minorBidi"/>
                <w:b/>
                <w:bCs/>
                <w:sz w:val="22"/>
              </w:rPr>
              <w:t>6</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3B1B2E40" w14:textId="2B367562" w:rsidR="002105DE" w:rsidRPr="00CC2621" w:rsidRDefault="002105DE" w:rsidP="002105DE">
            <w:pPr>
              <w:tabs>
                <w:tab w:val="left" w:pos="1276"/>
              </w:tabs>
              <w:spacing w:line="340" w:lineRule="exact"/>
              <w:rPr>
                <w:rFonts w:asciiTheme="minorBidi" w:hAnsiTheme="minorBidi"/>
                <w:bCs/>
                <w:sz w:val="22"/>
              </w:rPr>
            </w:pPr>
            <w:r w:rsidRPr="00CC2621">
              <w:rPr>
                <w:rFonts w:asciiTheme="minorBidi" w:hAnsiTheme="minorBidi"/>
                <w:bCs/>
                <w:sz w:val="22"/>
              </w:rPr>
              <w:t>Rapport de renforcement de capacité des techniciens du MEDD sur la budgétisation basée sur les Résultats</w:t>
            </w:r>
          </w:p>
        </w:tc>
        <w:tc>
          <w:tcPr>
            <w:tcW w:w="1204" w:type="dxa"/>
            <w:shd w:val="clear" w:color="auto" w:fill="auto"/>
            <w:vAlign w:val="center"/>
          </w:tcPr>
          <w:p w14:paraId="1CCA12F0" w14:textId="77777777" w:rsidR="002105DE" w:rsidRPr="00CC2621" w:rsidRDefault="002105DE" w:rsidP="002105DE">
            <w:pPr>
              <w:tabs>
                <w:tab w:val="left" w:pos="1276"/>
              </w:tabs>
              <w:spacing w:line="340" w:lineRule="exact"/>
              <w:rPr>
                <w:rFonts w:asciiTheme="minorBidi" w:hAnsiTheme="minorBidi"/>
                <w:bCs/>
                <w:sz w:val="22"/>
              </w:rPr>
            </w:pPr>
          </w:p>
        </w:tc>
        <w:tc>
          <w:tcPr>
            <w:tcW w:w="1429" w:type="dxa"/>
            <w:shd w:val="clear" w:color="auto" w:fill="auto"/>
            <w:vAlign w:val="center"/>
          </w:tcPr>
          <w:p w14:paraId="0F4531D2" w14:textId="02D1A004" w:rsidR="002105DE" w:rsidRPr="00CC2621" w:rsidRDefault="00CC2621" w:rsidP="002105DE">
            <w:pPr>
              <w:tabs>
                <w:tab w:val="left" w:pos="1276"/>
              </w:tabs>
              <w:spacing w:line="340" w:lineRule="exact"/>
              <w:jc w:val="center"/>
              <w:rPr>
                <w:rFonts w:asciiTheme="minorBidi" w:hAnsiTheme="minorBidi"/>
                <w:bCs/>
                <w:sz w:val="22"/>
              </w:rPr>
            </w:pPr>
            <w:r w:rsidRPr="00CC2621">
              <w:rPr>
                <w:rFonts w:asciiTheme="minorBidi" w:hAnsiTheme="minorBidi"/>
                <w:bCs/>
                <w:sz w:val="22"/>
              </w:rPr>
              <w:t>10%</w:t>
            </w:r>
          </w:p>
        </w:tc>
      </w:tr>
      <w:tr w:rsidR="002105DE" w:rsidRPr="00CC2621" w14:paraId="2E58D5F2" w14:textId="77777777" w:rsidTr="007131C2">
        <w:trPr>
          <w:trHeight w:val="765"/>
        </w:trPr>
        <w:tc>
          <w:tcPr>
            <w:tcW w:w="1626" w:type="dxa"/>
            <w:shd w:val="clear" w:color="auto" w:fill="auto"/>
            <w:vAlign w:val="center"/>
          </w:tcPr>
          <w:p w14:paraId="16EB2B55" w14:textId="7D45B935" w:rsidR="002105DE" w:rsidRPr="00CC2621" w:rsidRDefault="002105DE" w:rsidP="002105DE">
            <w:pPr>
              <w:tabs>
                <w:tab w:val="left" w:pos="1276"/>
              </w:tabs>
              <w:spacing w:line="340" w:lineRule="exact"/>
              <w:rPr>
                <w:rFonts w:asciiTheme="minorBidi" w:hAnsiTheme="minorBidi"/>
                <w:b/>
                <w:bCs/>
                <w:sz w:val="22"/>
              </w:rPr>
            </w:pPr>
            <w:r w:rsidRPr="00CC2621">
              <w:rPr>
                <w:rFonts w:asciiTheme="minorBidi" w:hAnsiTheme="minorBidi"/>
                <w:b/>
                <w:bCs/>
                <w:sz w:val="22"/>
              </w:rPr>
              <w:t>7</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56EA174C" w14:textId="1A3A83D5" w:rsidR="002105DE" w:rsidRPr="00CC2621" w:rsidRDefault="002105DE" w:rsidP="002105DE">
            <w:pPr>
              <w:tabs>
                <w:tab w:val="left" w:pos="1276"/>
              </w:tabs>
              <w:spacing w:line="340" w:lineRule="exact"/>
              <w:jc w:val="left"/>
              <w:rPr>
                <w:rFonts w:asciiTheme="minorBidi" w:hAnsiTheme="minorBidi"/>
                <w:bCs/>
                <w:sz w:val="22"/>
              </w:rPr>
            </w:pPr>
            <w:r w:rsidRPr="00CC2621">
              <w:rPr>
                <w:rFonts w:asciiTheme="minorBidi" w:hAnsiTheme="minorBidi"/>
                <w:bCs/>
                <w:sz w:val="22"/>
              </w:rPr>
              <w:t>Rapport sur l’élaboration du budget 2023 du MEDD basé sur une budgétisation basée sur les résultats</w:t>
            </w:r>
          </w:p>
        </w:tc>
        <w:tc>
          <w:tcPr>
            <w:tcW w:w="1204" w:type="dxa"/>
            <w:shd w:val="clear" w:color="auto" w:fill="auto"/>
            <w:vAlign w:val="center"/>
          </w:tcPr>
          <w:p w14:paraId="6D8C9A05" w14:textId="77777777" w:rsidR="002105DE" w:rsidRPr="00CC2621" w:rsidRDefault="002105DE" w:rsidP="002105DE">
            <w:pPr>
              <w:tabs>
                <w:tab w:val="left" w:pos="1276"/>
              </w:tabs>
              <w:spacing w:line="340" w:lineRule="exact"/>
              <w:rPr>
                <w:rFonts w:asciiTheme="minorBidi" w:hAnsiTheme="minorBidi"/>
                <w:bCs/>
                <w:sz w:val="22"/>
              </w:rPr>
            </w:pPr>
          </w:p>
        </w:tc>
        <w:tc>
          <w:tcPr>
            <w:tcW w:w="1429" w:type="dxa"/>
            <w:shd w:val="clear" w:color="auto" w:fill="auto"/>
            <w:vAlign w:val="center"/>
          </w:tcPr>
          <w:p w14:paraId="45FDA2BC" w14:textId="1877BE1F" w:rsidR="002105DE" w:rsidRPr="00CC2621" w:rsidRDefault="00CC2621" w:rsidP="002105DE">
            <w:pPr>
              <w:tabs>
                <w:tab w:val="left" w:pos="1276"/>
              </w:tabs>
              <w:spacing w:line="340" w:lineRule="exact"/>
              <w:jc w:val="center"/>
              <w:rPr>
                <w:rFonts w:asciiTheme="minorBidi" w:hAnsiTheme="minorBidi"/>
                <w:bCs/>
                <w:sz w:val="22"/>
              </w:rPr>
            </w:pPr>
            <w:r w:rsidRPr="00CC2621">
              <w:rPr>
                <w:rFonts w:asciiTheme="minorBidi" w:hAnsiTheme="minorBidi"/>
                <w:bCs/>
                <w:sz w:val="22"/>
              </w:rPr>
              <w:t>20%</w:t>
            </w:r>
          </w:p>
        </w:tc>
      </w:tr>
      <w:tr w:rsidR="002105DE" w:rsidRPr="00CC2621" w14:paraId="280A124C" w14:textId="77777777" w:rsidTr="007131C2">
        <w:trPr>
          <w:trHeight w:val="765"/>
        </w:trPr>
        <w:tc>
          <w:tcPr>
            <w:tcW w:w="1626" w:type="dxa"/>
            <w:shd w:val="clear" w:color="auto" w:fill="auto"/>
            <w:vAlign w:val="center"/>
          </w:tcPr>
          <w:p w14:paraId="3014B482" w14:textId="2E5A8DC2" w:rsidR="002105DE" w:rsidRPr="00CC2621" w:rsidRDefault="002105DE" w:rsidP="002105DE">
            <w:pPr>
              <w:tabs>
                <w:tab w:val="left" w:pos="1276"/>
              </w:tabs>
              <w:spacing w:line="340" w:lineRule="exact"/>
              <w:rPr>
                <w:rFonts w:asciiTheme="minorBidi" w:hAnsiTheme="minorBidi"/>
                <w:b/>
                <w:bCs/>
                <w:sz w:val="22"/>
              </w:rPr>
            </w:pPr>
            <w:r w:rsidRPr="00CC2621">
              <w:rPr>
                <w:rFonts w:asciiTheme="minorBidi" w:hAnsiTheme="minorBidi"/>
                <w:b/>
                <w:bCs/>
                <w:sz w:val="22"/>
              </w:rPr>
              <w:lastRenderedPageBreak/>
              <w:t>8</w:t>
            </w:r>
            <w:r w:rsidRPr="00CC2621">
              <w:rPr>
                <w:rFonts w:asciiTheme="minorBidi" w:hAnsiTheme="minorBidi"/>
                <w:b/>
                <w:bCs/>
                <w:sz w:val="22"/>
                <w:vertAlign w:val="superscript"/>
              </w:rPr>
              <w:t>ème</w:t>
            </w:r>
            <w:r w:rsidRPr="00CC2621">
              <w:rPr>
                <w:rFonts w:asciiTheme="minorBidi" w:hAnsiTheme="minorBidi"/>
                <w:b/>
                <w:bCs/>
                <w:sz w:val="22"/>
              </w:rPr>
              <w:t xml:space="preserve"> Tranche</w:t>
            </w:r>
          </w:p>
        </w:tc>
        <w:tc>
          <w:tcPr>
            <w:tcW w:w="5103" w:type="dxa"/>
          </w:tcPr>
          <w:p w14:paraId="255DA7D6" w14:textId="48963184" w:rsidR="002105DE" w:rsidRPr="00CC2621" w:rsidRDefault="002105DE" w:rsidP="002105DE">
            <w:pPr>
              <w:tabs>
                <w:tab w:val="left" w:pos="1276"/>
              </w:tabs>
              <w:spacing w:line="340" w:lineRule="exact"/>
              <w:jc w:val="left"/>
              <w:rPr>
                <w:rFonts w:asciiTheme="minorBidi" w:hAnsiTheme="minorBidi"/>
                <w:bCs/>
                <w:sz w:val="22"/>
              </w:rPr>
            </w:pPr>
            <w:r w:rsidRPr="00CC2621">
              <w:rPr>
                <w:rFonts w:asciiTheme="minorBidi" w:hAnsiTheme="minorBidi"/>
                <w:bCs/>
                <w:sz w:val="22"/>
              </w:rPr>
              <w:t>Rapport final à la fin de la prestation incluant toutes les activités réalisées et les recommandations nécessaire à la durabilité du processus</w:t>
            </w:r>
          </w:p>
        </w:tc>
        <w:tc>
          <w:tcPr>
            <w:tcW w:w="1204" w:type="dxa"/>
            <w:shd w:val="clear" w:color="auto" w:fill="auto"/>
            <w:vAlign w:val="center"/>
          </w:tcPr>
          <w:p w14:paraId="14FC7098" w14:textId="77777777" w:rsidR="002105DE" w:rsidRPr="00CC2621" w:rsidRDefault="002105DE" w:rsidP="002105DE">
            <w:pPr>
              <w:tabs>
                <w:tab w:val="left" w:pos="1276"/>
              </w:tabs>
              <w:spacing w:line="340" w:lineRule="exact"/>
              <w:rPr>
                <w:rFonts w:asciiTheme="minorBidi" w:hAnsiTheme="minorBidi"/>
                <w:bCs/>
                <w:sz w:val="22"/>
              </w:rPr>
            </w:pPr>
          </w:p>
        </w:tc>
        <w:tc>
          <w:tcPr>
            <w:tcW w:w="1429" w:type="dxa"/>
            <w:shd w:val="clear" w:color="auto" w:fill="auto"/>
            <w:vAlign w:val="center"/>
          </w:tcPr>
          <w:p w14:paraId="3378455F" w14:textId="148AF95C" w:rsidR="002105DE" w:rsidRPr="00CC2621" w:rsidRDefault="00CC2621" w:rsidP="002105DE">
            <w:pPr>
              <w:tabs>
                <w:tab w:val="left" w:pos="1276"/>
              </w:tabs>
              <w:spacing w:line="340" w:lineRule="exact"/>
              <w:jc w:val="center"/>
              <w:rPr>
                <w:rFonts w:asciiTheme="minorBidi" w:hAnsiTheme="minorBidi"/>
                <w:bCs/>
                <w:sz w:val="22"/>
              </w:rPr>
            </w:pPr>
            <w:r w:rsidRPr="00CC2621">
              <w:rPr>
                <w:rFonts w:asciiTheme="minorBidi" w:hAnsiTheme="minorBidi"/>
                <w:bCs/>
                <w:sz w:val="22"/>
              </w:rPr>
              <w:t>10%</w:t>
            </w:r>
          </w:p>
        </w:tc>
      </w:tr>
      <w:tr w:rsidR="002105DE" w:rsidRPr="00CC2621" w14:paraId="35427180" w14:textId="77777777" w:rsidTr="007131C2">
        <w:trPr>
          <w:trHeight w:val="765"/>
        </w:trPr>
        <w:tc>
          <w:tcPr>
            <w:tcW w:w="1626" w:type="dxa"/>
            <w:shd w:val="clear" w:color="auto" w:fill="auto"/>
            <w:vAlign w:val="center"/>
            <w:hideMark/>
          </w:tcPr>
          <w:p w14:paraId="1FCD8A6C" w14:textId="77777777" w:rsidR="002105DE" w:rsidRPr="00CC2621" w:rsidRDefault="002105DE" w:rsidP="002105DE">
            <w:pPr>
              <w:tabs>
                <w:tab w:val="left" w:pos="1276"/>
              </w:tabs>
              <w:spacing w:line="340" w:lineRule="exact"/>
              <w:rPr>
                <w:rFonts w:asciiTheme="minorBidi" w:hAnsiTheme="minorBidi"/>
                <w:b/>
                <w:bCs/>
                <w:sz w:val="22"/>
              </w:rPr>
            </w:pPr>
            <w:r w:rsidRPr="00CC2621">
              <w:rPr>
                <w:rFonts w:asciiTheme="minorBidi" w:hAnsiTheme="minorBidi"/>
                <w:b/>
                <w:bCs/>
                <w:sz w:val="22"/>
              </w:rPr>
              <w:t>TOTAL</w:t>
            </w:r>
          </w:p>
        </w:tc>
        <w:tc>
          <w:tcPr>
            <w:tcW w:w="5103" w:type="dxa"/>
          </w:tcPr>
          <w:p w14:paraId="2B4421A2" w14:textId="77777777" w:rsidR="002105DE" w:rsidRPr="00CC2621" w:rsidRDefault="002105DE" w:rsidP="002105DE">
            <w:pPr>
              <w:tabs>
                <w:tab w:val="left" w:pos="1276"/>
              </w:tabs>
              <w:spacing w:line="340" w:lineRule="exact"/>
              <w:rPr>
                <w:rFonts w:asciiTheme="minorBidi" w:hAnsiTheme="minorBidi"/>
                <w:b/>
                <w:bCs/>
                <w:sz w:val="22"/>
              </w:rPr>
            </w:pPr>
          </w:p>
        </w:tc>
        <w:tc>
          <w:tcPr>
            <w:tcW w:w="1204" w:type="dxa"/>
            <w:shd w:val="clear" w:color="auto" w:fill="auto"/>
            <w:vAlign w:val="center"/>
            <w:hideMark/>
          </w:tcPr>
          <w:p w14:paraId="6FCB19DE" w14:textId="77777777" w:rsidR="002105DE" w:rsidRPr="00CC2621" w:rsidRDefault="002105DE" w:rsidP="002105DE">
            <w:pPr>
              <w:tabs>
                <w:tab w:val="left" w:pos="1276"/>
              </w:tabs>
              <w:spacing w:line="340" w:lineRule="exact"/>
              <w:rPr>
                <w:rFonts w:asciiTheme="minorBidi" w:hAnsiTheme="minorBidi"/>
                <w:b/>
                <w:bCs/>
                <w:sz w:val="22"/>
              </w:rPr>
            </w:pPr>
            <w:r w:rsidRPr="00CC2621">
              <w:rPr>
                <w:rFonts w:asciiTheme="minorBidi" w:hAnsiTheme="minorBidi"/>
                <w:b/>
                <w:bCs/>
                <w:sz w:val="22"/>
              </w:rPr>
              <w:t> </w:t>
            </w:r>
          </w:p>
        </w:tc>
        <w:tc>
          <w:tcPr>
            <w:tcW w:w="1429" w:type="dxa"/>
            <w:shd w:val="clear" w:color="auto" w:fill="auto"/>
            <w:vAlign w:val="center"/>
            <w:hideMark/>
          </w:tcPr>
          <w:p w14:paraId="5DAC4791" w14:textId="77777777" w:rsidR="002105DE" w:rsidRPr="00CC2621" w:rsidRDefault="002105DE" w:rsidP="002105DE">
            <w:pPr>
              <w:tabs>
                <w:tab w:val="left" w:pos="1276"/>
              </w:tabs>
              <w:spacing w:line="340" w:lineRule="exact"/>
              <w:jc w:val="center"/>
              <w:rPr>
                <w:rFonts w:asciiTheme="minorBidi" w:hAnsiTheme="minorBidi"/>
                <w:b/>
                <w:bCs/>
                <w:sz w:val="22"/>
              </w:rPr>
            </w:pPr>
            <w:r w:rsidRPr="00CC2621">
              <w:rPr>
                <w:rFonts w:asciiTheme="minorBidi" w:hAnsiTheme="minorBidi"/>
                <w:b/>
                <w:bCs/>
                <w:sz w:val="22"/>
              </w:rPr>
              <w:t>100%</w:t>
            </w:r>
          </w:p>
        </w:tc>
      </w:tr>
    </w:tbl>
    <w:p w14:paraId="53BDE914" w14:textId="44CA42EF" w:rsidR="00737259" w:rsidRDefault="00737259" w:rsidP="00131BBE">
      <w:pPr>
        <w:rPr>
          <w:rFonts w:asciiTheme="minorBidi" w:hAnsiTheme="minorBidi"/>
          <w:b/>
          <w:i/>
          <w:iCs/>
          <w:sz w:val="22"/>
        </w:rPr>
      </w:pPr>
    </w:p>
    <w:p w14:paraId="1E769AB3" w14:textId="471990A1" w:rsidR="001343EF" w:rsidRDefault="001343EF" w:rsidP="00131BBE">
      <w:pPr>
        <w:rPr>
          <w:rFonts w:asciiTheme="minorBidi" w:hAnsiTheme="minorBidi"/>
          <w:b/>
          <w:i/>
          <w:iCs/>
          <w:sz w:val="22"/>
        </w:rPr>
      </w:pPr>
    </w:p>
    <w:p w14:paraId="3ACE54E5" w14:textId="78ED7804" w:rsidR="001343EF" w:rsidRPr="00CC2621" w:rsidRDefault="001343EF" w:rsidP="00131BBE">
      <w:pPr>
        <w:rPr>
          <w:rFonts w:asciiTheme="minorBidi" w:hAnsiTheme="minorBidi"/>
          <w:b/>
          <w:i/>
          <w:iCs/>
          <w:sz w:val="22"/>
        </w:rPr>
      </w:pPr>
    </w:p>
    <w:sectPr w:rsidR="001343EF" w:rsidRPr="00CC2621" w:rsidSect="00484237">
      <w:headerReference w:type="default" r:id="rId8"/>
      <w:pgSz w:w="11906" w:h="16838"/>
      <w:pgMar w:top="22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ADD8" w14:textId="77777777" w:rsidR="00B92776" w:rsidRDefault="00B92776" w:rsidP="00484237">
      <w:pPr>
        <w:spacing w:after="0" w:line="240" w:lineRule="auto"/>
      </w:pPr>
      <w:r>
        <w:separator/>
      </w:r>
    </w:p>
  </w:endnote>
  <w:endnote w:type="continuationSeparator" w:id="0">
    <w:p w14:paraId="28137B4E" w14:textId="77777777" w:rsidR="00B92776" w:rsidRDefault="00B92776" w:rsidP="0048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A3C9" w14:textId="77777777" w:rsidR="00B92776" w:rsidRDefault="00B92776" w:rsidP="00484237">
      <w:pPr>
        <w:spacing w:after="0" w:line="240" w:lineRule="auto"/>
      </w:pPr>
      <w:r>
        <w:separator/>
      </w:r>
    </w:p>
  </w:footnote>
  <w:footnote w:type="continuationSeparator" w:id="0">
    <w:p w14:paraId="760EFFB6" w14:textId="77777777" w:rsidR="00B92776" w:rsidRDefault="00B92776" w:rsidP="0048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C1F8" w14:textId="3C76239C" w:rsidR="00484237" w:rsidRDefault="00484237">
    <w:pPr>
      <w:pStyle w:val="En-tte"/>
    </w:pPr>
    <w:r w:rsidRPr="00484237">
      <w:rPr>
        <w:noProof/>
      </w:rPr>
      <w:drawing>
        <wp:anchor distT="0" distB="0" distL="114300" distR="114300" simplePos="0" relativeHeight="251660288" behindDoc="0" locked="0" layoutInCell="1" allowOverlap="1" wp14:anchorId="6059FD50" wp14:editId="2D3A8E56">
          <wp:simplePos x="0" y="0"/>
          <wp:positionH relativeFrom="column">
            <wp:posOffset>-334010</wp:posOffset>
          </wp:positionH>
          <wp:positionV relativeFrom="paragraph">
            <wp:posOffset>-78740</wp:posOffset>
          </wp:positionV>
          <wp:extent cx="1235710" cy="465455"/>
          <wp:effectExtent l="0" t="0" r="254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465455"/>
                  </a:xfrm>
                  <a:prstGeom prst="rect">
                    <a:avLst/>
                  </a:prstGeom>
                  <a:noFill/>
                  <a:ln>
                    <a:noFill/>
                  </a:ln>
                </pic:spPr>
              </pic:pic>
            </a:graphicData>
          </a:graphic>
        </wp:anchor>
      </w:drawing>
    </w:r>
    <w:r w:rsidRPr="00484237">
      <w:rPr>
        <w:noProof/>
      </w:rPr>
      <w:drawing>
        <wp:anchor distT="0" distB="0" distL="114300" distR="114300" simplePos="0" relativeHeight="251659264" behindDoc="0" locked="0" layoutInCell="1" allowOverlap="1" wp14:anchorId="60B577AB" wp14:editId="3A734273">
          <wp:simplePos x="0" y="0"/>
          <wp:positionH relativeFrom="column">
            <wp:posOffset>5727700</wp:posOffset>
          </wp:positionH>
          <wp:positionV relativeFrom="paragraph">
            <wp:posOffset>-291465</wp:posOffset>
          </wp:positionV>
          <wp:extent cx="440690" cy="884555"/>
          <wp:effectExtent l="0" t="0" r="0" b="0"/>
          <wp:wrapThrough wrapText="bothSides">
            <wp:wrapPolygon edited="0">
              <wp:start x="0" y="0"/>
              <wp:lineTo x="0" y="20933"/>
              <wp:lineTo x="20542" y="20933"/>
              <wp:lineTo x="2054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90" cy="884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DBE"/>
    <w:multiLevelType w:val="multilevel"/>
    <w:tmpl w:val="0400BE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474572"/>
    <w:multiLevelType w:val="hybridMultilevel"/>
    <w:tmpl w:val="B7189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76C59"/>
    <w:multiLevelType w:val="hybridMultilevel"/>
    <w:tmpl w:val="3F4CC33A"/>
    <w:lvl w:ilvl="0" w:tplc="A33476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9104A8"/>
    <w:multiLevelType w:val="hybridMultilevel"/>
    <w:tmpl w:val="A168A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944B28"/>
    <w:multiLevelType w:val="hybridMultilevel"/>
    <w:tmpl w:val="A6B01B24"/>
    <w:lvl w:ilvl="0" w:tplc="0A88585C">
      <w:numFmt w:val="bullet"/>
      <w:lvlText w:val="-"/>
      <w:lvlJc w:val="left"/>
      <w:pPr>
        <w:ind w:left="418" w:hanging="360"/>
      </w:pPr>
      <w:rPr>
        <w:rFonts w:ascii="Times New Roman" w:eastAsiaTheme="minorHAnsi" w:hAnsi="Times New Roman" w:cs="Times New Roman"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15:restartNumberingAfterBreak="0">
    <w:nsid w:val="3EE64F30"/>
    <w:multiLevelType w:val="hybridMultilevel"/>
    <w:tmpl w:val="53A2E72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4B2B6AD6"/>
    <w:multiLevelType w:val="hybridMultilevel"/>
    <w:tmpl w:val="AE50B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8B3776"/>
    <w:multiLevelType w:val="hybridMultilevel"/>
    <w:tmpl w:val="5FE2E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51BC5"/>
    <w:multiLevelType w:val="hybridMultilevel"/>
    <w:tmpl w:val="F9EED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EF60A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711D3853"/>
    <w:multiLevelType w:val="hybridMultilevel"/>
    <w:tmpl w:val="012E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571066"/>
    <w:multiLevelType w:val="hybridMultilevel"/>
    <w:tmpl w:val="753635A6"/>
    <w:lvl w:ilvl="0" w:tplc="4818289E">
      <w:start w:val="3"/>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4E42697"/>
    <w:multiLevelType w:val="hybridMultilevel"/>
    <w:tmpl w:val="4690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6"/>
  </w:num>
  <w:num w:numId="6">
    <w:abstractNumId w:val="3"/>
  </w:num>
  <w:num w:numId="7">
    <w:abstractNumId w:val="5"/>
  </w:num>
  <w:num w:numId="8">
    <w:abstractNumId w:val="11"/>
  </w:num>
  <w:num w:numId="9">
    <w:abstractNumId w:val="2"/>
  </w:num>
  <w:num w:numId="10">
    <w:abstractNumId w:val="4"/>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D4"/>
    <w:rsid w:val="00000471"/>
    <w:rsid w:val="00011897"/>
    <w:rsid w:val="00054B2A"/>
    <w:rsid w:val="0010268D"/>
    <w:rsid w:val="00131BBE"/>
    <w:rsid w:val="001343EF"/>
    <w:rsid w:val="002105DE"/>
    <w:rsid w:val="00212BDC"/>
    <w:rsid w:val="00214C50"/>
    <w:rsid w:val="00247634"/>
    <w:rsid w:val="002D7AAA"/>
    <w:rsid w:val="00383AF9"/>
    <w:rsid w:val="00453762"/>
    <w:rsid w:val="004769AD"/>
    <w:rsid w:val="00484237"/>
    <w:rsid w:val="00531EC2"/>
    <w:rsid w:val="005A231C"/>
    <w:rsid w:val="005C1BDC"/>
    <w:rsid w:val="005C55A5"/>
    <w:rsid w:val="005E02CF"/>
    <w:rsid w:val="00616415"/>
    <w:rsid w:val="00636B4F"/>
    <w:rsid w:val="00665AE9"/>
    <w:rsid w:val="006B00EC"/>
    <w:rsid w:val="00737259"/>
    <w:rsid w:val="00821EFF"/>
    <w:rsid w:val="008B75B8"/>
    <w:rsid w:val="008D3766"/>
    <w:rsid w:val="008E19C4"/>
    <w:rsid w:val="0093505D"/>
    <w:rsid w:val="009A0E3B"/>
    <w:rsid w:val="00A021A6"/>
    <w:rsid w:val="00B349BB"/>
    <w:rsid w:val="00B62C37"/>
    <w:rsid w:val="00B92776"/>
    <w:rsid w:val="00BA3424"/>
    <w:rsid w:val="00CC2621"/>
    <w:rsid w:val="00CD1316"/>
    <w:rsid w:val="00D33124"/>
    <w:rsid w:val="00D90E91"/>
    <w:rsid w:val="00DA060D"/>
    <w:rsid w:val="00DD762B"/>
    <w:rsid w:val="00DF1DB7"/>
    <w:rsid w:val="00E919FC"/>
    <w:rsid w:val="00EF280A"/>
    <w:rsid w:val="00F702D4"/>
    <w:rsid w:val="00F743A4"/>
    <w:rsid w:val="00F84E93"/>
    <w:rsid w:val="00FD46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0554B"/>
  <w15:chartTrackingRefBased/>
  <w15:docId w15:val="{C2DF2CAB-FBFA-4951-9502-210D63B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D4"/>
    <w:pPr>
      <w:spacing w:line="300" w:lineRule="auto"/>
      <w:jc w:val="both"/>
    </w:pPr>
    <w:rPr>
      <w:rFonts w:ascii="Times New Roman" w:hAnsi="Times New Roman"/>
      <w:sz w:val="24"/>
    </w:rPr>
  </w:style>
  <w:style w:type="paragraph" w:styleId="Titre1">
    <w:name w:val="heading 1"/>
    <w:basedOn w:val="Normal"/>
    <w:next w:val="Normal"/>
    <w:link w:val="Titre1Car"/>
    <w:uiPriority w:val="9"/>
    <w:qFormat/>
    <w:rsid w:val="001343EF"/>
    <w:pPr>
      <w:keepNext/>
      <w:keepLines/>
      <w:numPr>
        <w:numId w:val="1"/>
      </w:numPr>
      <w:spacing w:before="120" w:after="240"/>
      <w:ind w:left="431" w:hanging="431"/>
      <w:outlineLvl w:val="0"/>
    </w:pPr>
    <w:rPr>
      <w:rFonts w:ascii="Arial" w:eastAsiaTheme="majorEastAsia" w:hAnsi="Arial" w:cstheme="majorBidi"/>
      <w:b/>
      <w:smallCaps/>
      <w:szCs w:val="32"/>
    </w:rPr>
  </w:style>
  <w:style w:type="paragraph" w:styleId="Titre2">
    <w:name w:val="heading 2"/>
    <w:basedOn w:val="Normal"/>
    <w:next w:val="Normal"/>
    <w:link w:val="Titre2Car"/>
    <w:uiPriority w:val="9"/>
    <w:unhideWhenUsed/>
    <w:qFormat/>
    <w:rsid w:val="00F702D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702D4"/>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F702D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F702D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F702D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F702D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F702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702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3EF"/>
    <w:rPr>
      <w:rFonts w:ascii="Arial" w:eastAsiaTheme="majorEastAsia" w:hAnsi="Arial" w:cstheme="majorBidi"/>
      <w:b/>
      <w:smallCaps/>
      <w:sz w:val="24"/>
      <w:szCs w:val="32"/>
    </w:rPr>
  </w:style>
  <w:style w:type="character" w:customStyle="1" w:styleId="Titre2Car">
    <w:name w:val="Titre 2 Car"/>
    <w:basedOn w:val="Policepardfaut"/>
    <w:link w:val="Titre2"/>
    <w:uiPriority w:val="9"/>
    <w:rsid w:val="00F702D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F702D4"/>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F702D4"/>
    <w:rPr>
      <w:rFonts w:asciiTheme="majorHAnsi" w:eastAsiaTheme="majorEastAsia" w:hAnsiTheme="majorHAnsi" w:cstheme="majorBidi"/>
      <w:i/>
      <w:iCs/>
      <w:color w:val="365F91" w:themeColor="accent1" w:themeShade="BF"/>
      <w:sz w:val="24"/>
    </w:rPr>
  </w:style>
  <w:style w:type="character" w:customStyle="1" w:styleId="Titre5Car">
    <w:name w:val="Titre 5 Car"/>
    <w:basedOn w:val="Policepardfaut"/>
    <w:link w:val="Titre5"/>
    <w:uiPriority w:val="9"/>
    <w:semiHidden/>
    <w:rsid w:val="00F702D4"/>
    <w:rPr>
      <w:rFonts w:asciiTheme="majorHAnsi" w:eastAsiaTheme="majorEastAsia" w:hAnsiTheme="majorHAnsi" w:cstheme="majorBidi"/>
      <w:color w:val="365F91" w:themeColor="accent1" w:themeShade="BF"/>
      <w:sz w:val="24"/>
    </w:rPr>
  </w:style>
  <w:style w:type="character" w:customStyle="1" w:styleId="Titre6Car">
    <w:name w:val="Titre 6 Car"/>
    <w:basedOn w:val="Policepardfaut"/>
    <w:link w:val="Titre6"/>
    <w:uiPriority w:val="9"/>
    <w:semiHidden/>
    <w:rsid w:val="00F702D4"/>
    <w:rPr>
      <w:rFonts w:asciiTheme="majorHAnsi" w:eastAsiaTheme="majorEastAsia" w:hAnsiTheme="majorHAnsi" w:cstheme="majorBidi"/>
      <w:color w:val="243F60" w:themeColor="accent1" w:themeShade="7F"/>
      <w:sz w:val="24"/>
    </w:rPr>
  </w:style>
  <w:style w:type="character" w:customStyle="1" w:styleId="Titre7Car">
    <w:name w:val="Titre 7 Car"/>
    <w:basedOn w:val="Policepardfaut"/>
    <w:link w:val="Titre7"/>
    <w:uiPriority w:val="9"/>
    <w:semiHidden/>
    <w:rsid w:val="00F702D4"/>
    <w:rPr>
      <w:rFonts w:asciiTheme="majorHAnsi" w:eastAsiaTheme="majorEastAsia" w:hAnsiTheme="majorHAnsi" w:cstheme="majorBidi"/>
      <w:i/>
      <w:iCs/>
      <w:color w:val="243F60" w:themeColor="accent1" w:themeShade="7F"/>
      <w:sz w:val="24"/>
    </w:rPr>
  </w:style>
  <w:style w:type="character" w:customStyle="1" w:styleId="Titre8Car">
    <w:name w:val="Titre 8 Car"/>
    <w:basedOn w:val="Policepardfaut"/>
    <w:link w:val="Titre8"/>
    <w:uiPriority w:val="9"/>
    <w:semiHidden/>
    <w:rsid w:val="00F702D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702D4"/>
    <w:rPr>
      <w:rFonts w:asciiTheme="majorHAnsi" w:eastAsiaTheme="majorEastAsia" w:hAnsiTheme="majorHAnsi" w:cstheme="majorBidi"/>
      <w:i/>
      <w:iCs/>
      <w:color w:val="272727" w:themeColor="text1" w:themeTint="D8"/>
      <w:sz w:val="21"/>
      <w:szCs w:val="21"/>
    </w:rPr>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34"/>
    <w:qFormat/>
    <w:rsid w:val="00F702D4"/>
    <w:pPr>
      <w:ind w:left="720"/>
      <w:contextualSpacing/>
    </w:p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rsid w:val="00F702D4"/>
    <w:rPr>
      <w:rFonts w:ascii="Times New Roman" w:hAnsi="Times New Roman"/>
      <w:sz w:val="24"/>
    </w:rPr>
  </w:style>
  <w:style w:type="character" w:styleId="Marquedecommentaire">
    <w:name w:val="annotation reference"/>
    <w:basedOn w:val="Policepardfaut"/>
    <w:uiPriority w:val="99"/>
    <w:semiHidden/>
    <w:unhideWhenUsed/>
    <w:rsid w:val="008D3766"/>
    <w:rPr>
      <w:sz w:val="16"/>
      <w:szCs w:val="16"/>
    </w:rPr>
  </w:style>
  <w:style w:type="paragraph" w:styleId="Commentaire">
    <w:name w:val="annotation text"/>
    <w:basedOn w:val="Normal"/>
    <w:link w:val="CommentaireCar"/>
    <w:uiPriority w:val="99"/>
    <w:semiHidden/>
    <w:unhideWhenUsed/>
    <w:rsid w:val="008D3766"/>
    <w:pPr>
      <w:spacing w:line="240" w:lineRule="auto"/>
    </w:pPr>
    <w:rPr>
      <w:sz w:val="20"/>
      <w:szCs w:val="20"/>
    </w:rPr>
  </w:style>
  <w:style w:type="character" w:customStyle="1" w:styleId="CommentaireCar">
    <w:name w:val="Commentaire Car"/>
    <w:basedOn w:val="Policepardfaut"/>
    <w:link w:val="Commentaire"/>
    <w:uiPriority w:val="99"/>
    <w:semiHidden/>
    <w:rsid w:val="008D376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D3766"/>
    <w:rPr>
      <w:b/>
      <w:bCs/>
    </w:rPr>
  </w:style>
  <w:style w:type="character" w:customStyle="1" w:styleId="ObjetducommentaireCar">
    <w:name w:val="Objet du commentaire Car"/>
    <w:basedOn w:val="CommentaireCar"/>
    <w:link w:val="Objetducommentaire"/>
    <w:uiPriority w:val="99"/>
    <w:semiHidden/>
    <w:rsid w:val="008D3766"/>
    <w:rPr>
      <w:rFonts w:ascii="Times New Roman" w:hAnsi="Times New Roman"/>
      <w:b/>
      <w:bCs/>
      <w:sz w:val="20"/>
      <w:szCs w:val="20"/>
    </w:rPr>
  </w:style>
  <w:style w:type="paragraph" w:styleId="Rvision">
    <w:name w:val="Revision"/>
    <w:hidden/>
    <w:uiPriority w:val="99"/>
    <w:semiHidden/>
    <w:rsid w:val="008D3766"/>
    <w:pPr>
      <w:spacing w:after="0" w:line="240" w:lineRule="auto"/>
    </w:pPr>
    <w:rPr>
      <w:rFonts w:ascii="Times New Roman" w:hAnsi="Times New Roman"/>
      <w:sz w:val="24"/>
    </w:rPr>
  </w:style>
  <w:style w:type="paragraph" w:styleId="Textedebulles">
    <w:name w:val="Balloon Text"/>
    <w:basedOn w:val="Normal"/>
    <w:link w:val="TextedebullesCar"/>
    <w:uiPriority w:val="99"/>
    <w:semiHidden/>
    <w:unhideWhenUsed/>
    <w:rsid w:val="008D3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766"/>
    <w:rPr>
      <w:rFonts w:ascii="Segoe UI" w:hAnsi="Segoe UI" w:cs="Segoe UI"/>
      <w:sz w:val="18"/>
      <w:szCs w:val="18"/>
    </w:rPr>
  </w:style>
  <w:style w:type="paragraph" w:styleId="En-tte">
    <w:name w:val="header"/>
    <w:basedOn w:val="Normal"/>
    <w:link w:val="En-tteCar"/>
    <w:uiPriority w:val="99"/>
    <w:unhideWhenUsed/>
    <w:rsid w:val="00484237"/>
    <w:pPr>
      <w:tabs>
        <w:tab w:val="center" w:pos="4536"/>
        <w:tab w:val="right" w:pos="9072"/>
      </w:tabs>
      <w:spacing w:after="0" w:line="240" w:lineRule="auto"/>
    </w:pPr>
  </w:style>
  <w:style w:type="character" w:customStyle="1" w:styleId="En-tteCar">
    <w:name w:val="En-tête Car"/>
    <w:basedOn w:val="Policepardfaut"/>
    <w:link w:val="En-tte"/>
    <w:uiPriority w:val="99"/>
    <w:rsid w:val="00484237"/>
    <w:rPr>
      <w:rFonts w:ascii="Times New Roman" w:hAnsi="Times New Roman"/>
      <w:sz w:val="24"/>
    </w:rPr>
  </w:style>
  <w:style w:type="paragraph" w:styleId="Pieddepage">
    <w:name w:val="footer"/>
    <w:basedOn w:val="Normal"/>
    <w:link w:val="PieddepageCar"/>
    <w:uiPriority w:val="99"/>
    <w:unhideWhenUsed/>
    <w:rsid w:val="004842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2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0331-EB5B-4C9A-B820-141D0950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2441</Words>
  <Characters>13428</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raharinaivo</dc:creator>
  <cp:keywords/>
  <dc:description/>
  <cp:lastModifiedBy>UNDP Procurment Madagascar</cp:lastModifiedBy>
  <cp:revision>9</cp:revision>
  <dcterms:created xsi:type="dcterms:W3CDTF">2021-11-26T06:17:00Z</dcterms:created>
  <dcterms:modified xsi:type="dcterms:W3CDTF">2022-01-06T06:28:00Z</dcterms:modified>
</cp:coreProperties>
</file>