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20"/>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8982"/>
      </w:tblGrid>
      <w:tr w:rsidR="001A6A92" w:rsidRPr="00384029" w14:paraId="7C4EDE53" w14:textId="77777777" w:rsidTr="00265201">
        <w:trPr>
          <w:cantSplit/>
          <w:trHeight w:val="1328"/>
        </w:trPr>
        <w:tc>
          <w:tcPr>
            <w:tcW w:w="5000" w:type="pct"/>
            <w:tcBorders>
              <w:top w:val="thinThickSmallGap" w:sz="24" w:space="0" w:color="auto"/>
              <w:bottom w:val="thickThinSmallGap" w:sz="24" w:space="0" w:color="auto"/>
            </w:tcBorders>
            <w:shd w:val="clear" w:color="auto" w:fill="FFFFFF"/>
            <w:vAlign w:val="center"/>
          </w:tcPr>
          <w:p w14:paraId="532F248D" w14:textId="77777777" w:rsidR="001A6A92" w:rsidRPr="00384029" w:rsidRDefault="001A6A92" w:rsidP="006C6266">
            <w:pPr>
              <w:spacing w:after="0" w:line="276" w:lineRule="auto"/>
              <w:jc w:val="center"/>
              <w:rPr>
                <w:rFonts w:ascii="Garamond" w:eastAsia="Times New Roman" w:hAnsi="Garamond" w:cs="Times New Roman"/>
                <w:b/>
                <w:sz w:val="24"/>
                <w:szCs w:val="24"/>
              </w:rPr>
            </w:pPr>
            <w:r w:rsidRPr="00384029">
              <w:rPr>
                <w:rFonts w:ascii="Garamond" w:eastAsia="Times New Roman" w:hAnsi="Garamond" w:cs="Times New Roman"/>
                <w:b/>
                <w:sz w:val="24"/>
                <w:szCs w:val="24"/>
              </w:rPr>
              <w:t>TERMES DE RÉFÉRENCE</w:t>
            </w:r>
          </w:p>
          <w:p w14:paraId="768DA568" w14:textId="0E22922C" w:rsidR="00040E5C" w:rsidRPr="00384029" w:rsidRDefault="00D03D0E" w:rsidP="00040E5C">
            <w:pPr>
              <w:spacing w:after="0" w:line="276" w:lineRule="auto"/>
              <w:jc w:val="center"/>
              <w:rPr>
                <w:rFonts w:ascii="Garamond" w:eastAsia="Times New Roman" w:hAnsi="Garamond" w:cs="Times New Roman"/>
                <w:b/>
                <w:sz w:val="24"/>
                <w:szCs w:val="24"/>
              </w:rPr>
            </w:pPr>
            <w:r w:rsidRPr="00384029">
              <w:rPr>
                <w:rFonts w:ascii="Garamond" w:eastAsia="Times New Roman" w:hAnsi="Garamond" w:cs="Times New Roman"/>
                <w:b/>
                <w:sz w:val="24"/>
                <w:szCs w:val="24"/>
              </w:rPr>
              <w:t>RECRUTEMENT D’UN</w:t>
            </w:r>
            <w:r w:rsidR="002B5DF6" w:rsidRPr="00384029">
              <w:rPr>
                <w:rFonts w:ascii="Garamond" w:eastAsia="Times New Roman" w:hAnsi="Garamond" w:cs="Times New Roman"/>
                <w:b/>
                <w:sz w:val="24"/>
                <w:szCs w:val="24"/>
              </w:rPr>
              <w:t xml:space="preserve"> (E)</w:t>
            </w:r>
            <w:r w:rsidRPr="00384029">
              <w:rPr>
                <w:rFonts w:ascii="Garamond" w:eastAsia="Times New Roman" w:hAnsi="Garamond" w:cs="Times New Roman"/>
                <w:b/>
                <w:sz w:val="24"/>
                <w:szCs w:val="24"/>
              </w:rPr>
              <w:t xml:space="preserve"> CONSULTANT</w:t>
            </w:r>
            <w:r w:rsidR="002B5DF6" w:rsidRPr="00384029">
              <w:rPr>
                <w:rFonts w:ascii="Garamond" w:eastAsia="Times New Roman" w:hAnsi="Garamond" w:cs="Times New Roman"/>
                <w:b/>
                <w:sz w:val="24"/>
                <w:szCs w:val="24"/>
              </w:rPr>
              <w:t xml:space="preserve"> (E)</w:t>
            </w:r>
            <w:r w:rsidRPr="00384029">
              <w:rPr>
                <w:rFonts w:ascii="Garamond" w:eastAsia="Times New Roman" w:hAnsi="Garamond" w:cs="Times New Roman"/>
                <w:b/>
                <w:sz w:val="24"/>
                <w:szCs w:val="24"/>
              </w:rPr>
              <w:t xml:space="preserve"> NATIONAL</w:t>
            </w:r>
            <w:r w:rsidR="002B5DF6" w:rsidRPr="00384029">
              <w:rPr>
                <w:rFonts w:ascii="Garamond" w:eastAsia="Times New Roman" w:hAnsi="Garamond" w:cs="Times New Roman"/>
                <w:b/>
                <w:sz w:val="24"/>
                <w:szCs w:val="24"/>
              </w:rPr>
              <w:t xml:space="preserve"> (E)</w:t>
            </w:r>
            <w:r w:rsidRPr="00384029">
              <w:rPr>
                <w:rFonts w:ascii="Garamond" w:eastAsia="Times New Roman" w:hAnsi="Garamond" w:cs="Times New Roman"/>
                <w:b/>
                <w:sz w:val="24"/>
                <w:szCs w:val="24"/>
              </w:rPr>
              <w:t xml:space="preserve"> </w:t>
            </w:r>
            <w:r w:rsidR="000F4690" w:rsidRPr="00384029">
              <w:rPr>
                <w:rFonts w:ascii="Garamond" w:eastAsia="Times New Roman" w:hAnsi="Garamond" w:cs="Times New Roman"/>
                <w:b/>
                <w:sz w:val="24"/>
                <w:szCs w:val="24"/>
              </w:rPr>
              <w:t xml:space="preserve">CHARGE </w:t>
            </w:r>
            <w:r w:rsidR="002B5DF6" w:rsidRPr="00384029">
              <w:rPr>
                <w:rFonts w:ascii="Garamond" w:eastAsia="Times New Roman" w:hAnsi="Garamond" w:cs="Times New Roman"/>
                <w:b/>
                <w:sz w:val="24"/>
                <w:szCs w:val="24"/>
              </w:rPr>
              <w:t xml:space="preserve"> (E) </w:t>
            </w:r>
            <w:r w:rsidR="000F4690" w:rsidRPr="00384029">
              <w:rPr>
                <w:rFonts w:ascii="Garamond" w:eastAsia="Times New Roman" w:hAnsi="Garamond" w:cs="Times New Roman"/>
                <w:b/>
                <w:sz w:val="24"/>
                <w:szCs w:val="24"/>
              </w:rPr>
              <w:t>D’</w:t>
            </w:r>
            <w:r w:rsidR="00220243" w:rsidRPr="00384029">
              <w:rPr>
                <w:rFonts w:ascii="Garamond" w:eastAsia="Times New Roman" w:hAnsi="Garamond" w:cs="Times New Roman"/>
                <w:b/>
                <w:sz w:val="24"/>
                <w:szCs w:val="24"/>
              </w:rPr>
              <w:t>APPU</w:t>
            </w:r>
            <w:r w:rsidR="002B5DF6" w:rsidRPr="00384029">
              <w:rPr>
                <w:rFonts w:ascii="Garamond" w:eastAsia="Times New Roman" w:hAnsi="Garamond" w:cs="Times New Roman"/>
                <w:b/>
                <w:sz w:val="24"/>
                <w:szCs w:val="24"/>
              </w:rPr>
              <w:t xml:space="preserve">YER </w:t>
            </w:r>
          </w:p>
          <w:p w14:paraId="529A161B" w14:textId="5F4E5250" w:rsidR="009208AD" w:rsidRPr="00384029" w:rsidRDefault="009208AD" w:rsidP="007D1D4B">
            <w:pPr>
              <w:spacing w:after="0" w:line="276" w:lineRule="auto"/>
              <w:jc w:val="center"/>
              <w:rPr>
                <w:rFonts w:ascii="Garamond" w:eastAsia="Times New Roman" w:hAnsi="Garamond" w:cs="Times New Roman"/>
                <w:b/>
                <w:sz w:val="24"/>
                <w:szCs w:val="24"/>
              </w:rPr>
            </w:pPr>
            <w:r w:rsidRPr="00384029">
              <w:rPr>
                <w:rFonts w:ascii="Garamond" w:eastAsia="Times New Roman" w:hAnsi="Garamond" w:cs="Times New Roman"/>
                <w:b/>
                <w:sz w:val="24"/>
                <w:szCs w:val="24"/>
              </w:rPr>
              <w:t>LA MODERNISATION ET LA DIGITALISATION DES SERVICES ADMINISTRATIFS</w:t>
            </w:r>
          </w:p>
        </w:tc>
      </w:tr>
    </w:tbl>
    <w:p w14:paraId="78B41228" w14:textId="77777777" w:rsidR="001A6A92" w:rsidRPr="00384029" w:rsidRDefault="001A6A92" w:rsidP="001A6A92">
      <w:pPr>
        <w:spacing w:after="0" w:line="276" w:lineRule="auto"/>
        <w:rPr>
          <w:rFonts w:ascii="Garamond" w:eastAsia="Times New Roman" w:hAnsi="Garamond" w:cs="Times New Roman"/>
          <w:sz w:val="24"/>
          <w:szCs w:val="24"/>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263"/>
        <w:gridCol w:w="2835"/>
        <w:gridCol w:w="2126"/>
        <w:gridCol w:w="285"/>
        <w:gridCol w:w="1553"/>
      </w:tblGrid>
      <w:tr w:rsidR="001A6A92" w:rsidRPr="00384029" w14:paraId="653BFF64" w14:textId="77777777" w:rsidTr="007626CB">
        <w:trPr>
          <w:trHeight w:val="451"/>
        </w:trPr>
        <w:tc>
          <w:tcPr>
            <w:tcW w:w="5000" w:type="pct"/>
            <w:gridSpan w:val="5"/>
            <w:shd w:val="clear" w:color="auto" w:fill="2907A5"/>
            <w:vAlign w:val="center"/>
          </w:tcPr>
          <w:p w14:paraId="2F297A0D" w14:textId="77777777" w:rsidR="001A6A92" w:rsidRPr="00384029" w:rsidRDefault="001A6A92" w:rsidP="006C6266">
            <w:pPr>
              <w:numPr>
                <w:ilvl w:val="0"/>
                <w:numId w:val="2"/>
              </w:numPr>
              <w:spacing w:after="0" w:line="276" w:lineRule="auto"/>
              <w:rPr>
                <w:rFonts w:ascii="Garamond" w:eastAsia="Times New Roman" w:hAnsi="Garamond" w:cs="Times New Roman"/>
                <w:b/>
                <w:bCs/>
                <w:sz w:val="24"/>
                <w:szCs w:val="24"/>
                <w:lang w:val="en-US"/>
              </w:rPr>
            </w:pPr>
            <w:r w:rsidRPr="00384029">
              <w:rPr>
                <w:rFonts w:ascii="Garamond" w:eastAsia="Times New Roman" w:hAnsi="Garamond" w:cs="Times New Roman"/>
                <w:b/>
                <w:bCs/>
                <w:sz w:val="24"/>
                <w:szCs w:val="24"/>
              </w:rPr>
              <w:t>Informations sur la position</w:t>
            </w:r>
          </w:p>
        </w:tc>
      </w:tr>
      <w:tr w:rsidR="001A6A92" w:rsidRPr="00384029" w14:paraId="143BA18D" w14:textId="77777777" w:rsidTr="006C6266">
        <w:trPr>
          <w:trHeight w:val="1872"/>
        </w:trPr>
        <w:tc>
          <w:tcPr>
            <w:tcW w:w="5000" w:type="pct"/>
            <w:gridSpan w:val="5"/>
          </w:tcPr>
          <w:p w14:paraId="49C181C9" w14:textId="77777777" w:rsidR="001A6A92" w:rsidRPr="00384029" w:rsidRDefault="001A6A92" w:rsidP="006C6266">
            <w:pPr>
              <w:spacing w:after="0" w:line="276" w:lineRule="auto"/>
              <w:rPr>
                <w:rFonts w:ascii="Garamond" w:eastAsia="Times New Roman" w:hAnsi="Garamond" w:cs="Times New Roman"/>
                <w:sz w:val="24"/>
                <w:szCs w:val="24"/>
                <w:lang w:val="en-US"/>
              </w:rPr>
            </w:pPr>
          </w:p>
          <w:p w14:paraId="78CD4DE0" w14:textId="2D7D7E6C" w:rsidR="003250F2" w:rsidRPr="00384029" w:rsidRDefault="001A6A92" w:rsidP="006C6266">
            <w:pPr>
              <w:tabs>
                <w:tab w:val="left" w:pos="2160"/>
              </w:tabs>
              <w:spacing w:after="0" w:line="240" w:lineRule="auto"/>
              <w:ind w:left="2160" w:hanging="2160"/>
              <w:rPr>
                <w:rFonts w:ascii="Garamond" w:eastAsia="Times New Roman" w:hAnsi="Garamond" w:cs="Times New Roman"/>
                <w:b/>
                <w:sz w:val="24"/>
                <w:szCs w:val="24"/>
              </w:rPr>
            </w:pPr>
            <w:r w:rsidRPr="00384029">
              <w:rPr>
                <w:rFonts w:ascii="Garamond" w:eastAsia="Times New Roman" w:hAnsi="Garamond" w:cs="Times New Roman"/>
                <w:sz w:val="24"/>
                <w:szCs w:val="24"/>
              </w:rPr>
              <w:t xml:space="preserve">Titre du poste/Service attendu </w:t>
            </w:r>
            <w:r w:rsidRPr="00384029">
              <w:rPr>
                <w:rFonts w:ascii="Garamond" w:eastAsia="Times New Roman" w:hAnsi="Garamond" w:cs="Times New Roman"/>
                <w:b/>
                <w:sz w:val="24"/>
                <w:szCs w:val="24"/>
              </w:rPr>
              <w:t xml:space="preserve">: </w:t>
            </w:r>
            <w:r w:rsidR="003250F2" w:rsidRPr="00384029">
              <w:rPr>
                <w:rFonts w:ascii="Garamond" w:eastAsia="Times New Roman" w:hAnsi="Garamond" w:cs="Times New Roman"/>
                <w:b/>
                <w:sz w:val="24"/>
                <w:szCs w:val="24"/>
              </w:rPr>
              <w:t xml:space="preserve">Consultant (e) national (e) chargé (e) d’appuyer </w:t>
            </w:r>
            <w:r w:rsidR="00040E5C" w:rsidRPr="00384029">
              <w:rPr>
                <w:rFonts w:ascii="Garamond" w:eastAsia="Times New Roman" w:hAnsi="Garamond" w:cs="Times New Roman"/>
                <w:b/>
                <w:sz w:val="24"/>
                <w:szCs w:val="24"/>
              </w:rPr>
              <w:t>la modernisation et la digitalisation des services administratifs</w:t>
            </w:r>
          </w:p>
          <w:p w14:paraId="5CE8000F" w14:textId="10E9EA47" w:rsidR="001A6A92" w:rsidRPr="00384029" w:rsidRDefault="001A6A92" w:rsidP="006C6266">
            <w:pPr>
              <w:tabs>
                <w:tab w:val="left" w:pos="2160"/>
              </w:tabs>
              <w:spacing w:after="0" w:line="240"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 xml:space="preserve">Nombre de postes : </w:t>
            </w:r>
            <w:r w:rsidR="00D03D0E" w:rsidRPr="00384029">
              <w:rPr>
                <w:rFonts w:ascii="Garamond" w:eastAsia="Times New Roman" w:hAnsi="Garamond" w:cs="Times New Roman"/>
                <w:sz w:val="24"/>
                <w:szCs w:val="24"/>
              </w:rPr>
              <w:t>1</w:t>
            </w:r>
          </w:p>
          <w:p w14:paraId="4B5738C2" w14:textId="4EB5B730" w:rsidR="001A6A92" w:rsidRPr="00384029" w:rsidRDefault="001A6A92" w:rsidP="006C6266">
            <w:pPr>
              <w:tabs>
                <w:tab w:val="left" w:pos="2160"/>
              </w:tabs>
              <w:spacing w:before="120" w:after="120" w:line="276"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Niveau du (des) poste(s)</w:t>
            </w:r>
            <w:r w:rsidR="00081EF3" w:rsidRPr="00384029">
              <w:rPr>
                <w:rFonts w:ascii="Garamond" w:eastAsia="Times New Roman" w:hAnsi="Garamond" w:cs="Times New Roman"/>
                <w:sz w:val="24"/>
                <w:szCs w:val="24"/>
              </w:rPr>
              <w:t xml:space="preserve"> ou du (des) service(s) : N</w:t>
            </w:r>
            <w:r w:rsidRPr="00384029">
              <w:rPr>
                <w:rFonts w:ascii="Garamond" w:eastAsia="Times New Roman" w:hAnsi="Garamond" w:cs="Times New Roman"/>
                <w:sz w:val="24"/>
                <w:szCs w:val="24"/>
              </w:rPr>
              <w:t xml:space="preserve">ational </w:t>
            </w:r>
            <w:r w:rsidR="003C7A7A" w:rsidRPr="00384029">
              <w:rPr>
                <w:rFonts w:ascii="Garamond" w:eastAsia="Times New Roman" w:hAnsi="Garamond" w:cs="Times New Roman"/>
                <w:sz w:val="24"/>
                <w:szCs w:val="24"/>
              </w:rPr>
              <w:t>(e)</w:t>
            </w:r>
          </w:p>
          <w:p w14:paraId="6C29473C" w14:textId="77777777" w:rsidR="001A6A92" w:rsidRPr="00384029" w:rsidRDefault="001A6A92" w:rsidP="006C6266">
            <w:pPr>
              <w:tabs>
                <w:tab w:val="left" w:pos="2160"/>
              </w:tabs>
              <w:spacing w:before="120" w:after="120" w:line="276"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Nature de la consultation (Soutien/ Substance) : Soutien</w:t>
            </w:r>
          </w:p>
          <w:p w14:paraId="069EC40F" w14:textId="7133E1B7" w:rsidR="001A6A92" w:rsidRPr="00384029" w:rsidRDefault="001A6A92" w:rsidP="006C6266">
            <w:pPr>
              <w:tabs>
                <w:tab w:val="left" w:pos="2160"/>
              </w:tabs>
              <w:spacing w:before="120" w:after="120" w:line="276" w:lineRule="auto"/>
              <w:ind w:left="2160" w:hanging="2160"/>
              <w:rPr>
                <w:rFonts w:ascii="Garamond" w:eastAsia="Times New Roman" w:hAnsi="Garamond" w:cs="Times New Roman"/>
                <w:b/>
                <w:sz w:val="24"/>
                <w:szCs w:val="24"/>
              </w:rPr>
            </w:pPr>
            <w:r w:rsidRPr="00384029">
              <w:rPr>
                <w:rFonts w:ascii="Garamond" w:eastAsia="Times New Roman" w:hAnsi="Garamond" w:cs="Times New Roman"/>
                <w:sz w:val="24"/>
                <w:szCs w:val="24"/>
              </w:rPr>
              <w:t xml:space="preserve">Type de contrat </w:t>
            </w:r>
            <w:r w:rsidR="00081EF3" w:rsidRPr="00384029">
              <w:rPr>
                <w:rFonts w:ascii="Garamond" w:eastAsia="Times New Roman" w:hAnsi="Garamond" w:cs="Times New Roman"/>
                <w:b/>
                <w:sz w:val="24"/>
                <w:szCs w:val="24"/>
              </w:rPr>
              <w:t xml:space="preserve">: </w:t>
            </w:r>
            <w:r w:rsidR="00081EF3" w:rsidRPr="00384029">
              <w:rPr>
                <w:rFonts w:ascii="Garamond" w:eastAsia="Times New Roman" w:hAnsi="Garamond" w:cs="Times New Roman"/>
                <w:bCs/>
                <w:sz w:val="24"/>
                <w:szCs w:val="24"/>
              </w:rPr>
              <w:t>N</w:t>
            </w:r>
            <w:r w:rsidR="00887ED1" w:rsidRPr="00384029">
              <w:rPr>
                <w:rFonts w:ascii="Garamond" w:eastAsia="Times New Roman" w:hAnsi="Garamond" w:cs="Times New Roman"/>
                <w:bCs/>
                <w:sz w:val="24"/>
                <w:szCs w:val="24"/>
              </w:rPr>
              <w:t>ational consultant IC</w:t>
            </w:r>
          </w:p>
          <w:p w14:paraId="13D41F49" w14:textId="76DABE5B" w:rsidR="001A6A92" w:rsidRPr="00384029" w:rsidRDefault="001A6A92" w:rsidP="006C6266">
            <w:pPr>
              <w:tabs>
                <w:tab w:val="left" w:pos="2160"/>
              </w:tabs>
              <w:spacing w:before="120" w:after="120" w:line="276"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 xml:space="preserve">Type de mission (à domicile ou sur site) : </w:t>
            </w:r>
            <w:r w:rsidR="000B7BB2" w:rsidRPr="00384029">
              <w:rPr>
                <w:rFonts w:ascii="Garamond" w:eastAsia="Times New Roman" w:hAnsi="Garamond" w:cs="Times New Roman"/>
                <w:sz w:val="24"/>
                <w:szCs w:val="24"/>
              </w:rPr>
              <w:t>P</w:t>
            </w:r>
            <w:r w:rsidRPr="00384029">
              <w:rPr>
                <w:rFonts w:ascii="Garamond" w:eastAsia="Times New Roman" w:hAnsi="Garamond" w:cs="Times New Roman"/>
                <w:sz w:val="24"/>
                <w:szCs w:val="24"/>
              </w:rPr>
              <w:t>résence physique</w:t>
            </w:r>
          </w:p>
          <w:p w14:paraId="4BC0F0F6" w14:textId="77777777" w:rsidR="001A6A92" w:rsidRPr="00384029" w:rsidRDefault="001A6A92" w:rsidP="006C6266">
            <w:pPr>
              <w:tabs>
                <w:tab w:val="left" w:pos="2160"/>
              </w:tabs>
              <w:spacing w:before="120" w:after="120" w:line="276"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Lieu d'emploi : Conakry</w:t>
            </w:r>
          </w:p>
          <w:p w14:paraId="43E8E51C" w14:textId="494AD61D" w:rsidR="001A6A92" w:rsidRPr="00384029" w:rsidRDefault="001A6A92" w:rsidP="006C6266">
            <w:pPr>
              <w:tabs>
                <w:tab w:val="left" w:pos="2160"/>
              </w:tabs>
              <w:spacing w:before="120" w:after="120" w:line="276"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 xml:space="preserve">Durée de la mission : </w:t>
            </w:r>
            <w:r w:rsidR="007626CB" w:rsidRPr="00384029">
              <w:rPr>
                <w:rFonts w:ascii="Garamond" w:eastAsia="Times New Roman" w:hAnsi="Garamond" w:cs="Times New Roman"/>
                <w:sz w:val="24"/>
                <w:szCs w:val="24"/>
              </w:rPr>
              <w:t>90</w:t>
            </w:r>
            <w:r w:rsidRPr="00384029">
              <w:rPr>
                <w:rFonts w:ascii="Garamond" w:eastAsia="Times New Roman" w:hAnsi="Garamond" w:cs="Times New Roman"/>
                <w:sz w:val="24"/>
                <w:szCs w:val="24"/>
              </w:rPr>
              <w:t xml:space="preserve"> jours ouvrables </w:t>
            </w:r>
          </w:p>
          <w:p w14:paraId="58AA318C" w14:textId="5E9D8E76" w:rsidR="001A6A92" w:rsidRPr="00384029" w:rsidRDefault="001A6A92" w:rsidP="00C77C10">
            <w:pPr>
              <w:tabs>
                <w:tab w:val="left" w:pos="2160"/>
              </w:tabs>
              <w:spacing w:before="120" w:after="120" w:line="276" w:lineRule="auto"/>
              <w:ind w:left="2160" w:hanging="2160"/>
              <w:rPr>
                <w:rFonts w:ascii="Garamond" w:eastAsia="Times New Roman" w:hAnsi="Garamond" w:cs="Times New Roman"/>
                <w:sz w:val="24"/>
                <w:szCs w:val="24"/>
              </w:rPr>
            </w:pPr>
            <w:r w:rsidRPr="00384029">
              <w:rPr>
                <w:rFonts w:ascii="Garamond" w:eastAsia="Times New Roman" w:hAnsi="Garamond" w:cs="Times New Roman"/>
                <w:sz w:val="24"/>
                <w:szCs w:val="24"/>
              </w:rPr>
              <w:t xml:space="preserve">Date estimée de début de la mission : </w:t>
            </w:r>
            <w:r w:rsidR="00C77C10" w:rsidRPr="00384029">
              <w:rPr>
                <w:rFonts w:ascii="Garamond" w:eastAsia="Times New Roman" w:hAnsi="Garamond" w:cs="Times New Roman"/>
                <w:sz w:val="24"/>
                <w:szCs w:val="24"/>
              </w:rPr>
              <w:t>Avril</w:t>
            </w:r>
            <w:r w:rsidRPr="00384029">
              <w:rPr>
                <w:rFonts w:ascii="Garamond" w:eastAsia="Times New Roman" w:hAnsi="Garamond" w:cs="Times New Roman"/>
                <w:sz w:val="24"/>
                <w:szCs w:val="24"/>
              </w:rPr>
              <w:t xml:space="preserve"> 2022</w:t>
            </w:r>
          </w:p>
        </w:tc>
      </w:tr>
      <w:tr w:rsidR="00211611" w:rsidRPr="00384029" w14:paraId="270E065E" w14:textId="77777777" w:rsidTr="00254AC4">
        <w:trPr>
          <w:trHeight w:val="456"/>
        </w:trPr>
        <w:tc>
          <w:tcPr>
            <w:tcW w:w="5000" w:type="pct"/>
            <w:gridSpan w:val="5"/>
            <w:shd w:val="clear" w:color="auto" w:fill="2907A5"/>
            <w:vAlign w:val="center"/>
          </w:tcPr>
          <w:p w14:paraId="4964473F" w14:textId="24B631AF" w:rsidR="00211611" w:rsidRPr="00384029" w:rsidRDefault="00211611" w:rsidP="00211611">
            <w:pPr>
              <w:numPr>
                <w:ilvl w:val="0"/>
                <w:numId w:val="2"/>
              </w:numPr>
              <w:spacing w:after="0" w:line="276" w:lineRule="auto"/>
              <w:rPr>
                <w:rFonts w:ascii="Garamond" w:eastAsia="Times New Roman" w:hAnsi="Garamond" w:cs="Times New Roman"/>
                <w:b/>
                <w:bCs/>
                <w:sz w:val="24"/>
                <w:szCs w:val="24"/>
              </w:rPr>
            </w:pPr>
            <w:r w:rsidRPr="00384029">
              <w:rPr>
                <w:rFonts w:ascii="Garamond" w:eastAsia="Times New Roman" w:hAnsi="Garamond" w:cs="Times New Roman"/>
                <w:b/>
                <w:bCs/>
                <w:sz w:val="24"/>
                <w:szCs w:val="24"/>
              </w:rPr>
              <w:t xml:space="preserve">Contexte </w:t>
            </w:r>
          </w:p>
        </w:tc>
      </w:tr>
      <w:tr w:rsidR="00211611" w:rsidRPr="00384029" w14:paraId="39F35A1F" w14:textId="77777777" w:rsidTr="00211611">
        <w:trPr>
          <w:trHeight w:val="456"/>
        </w:trPr>
        <w:tc>
          <w:tcPr>
            <w:tcW w:w="5000" w:type="pct"/>
            <w:gridSpan w:val="5"/>
          </w:tcPr>
          <w:p w14:paraId="320548B0" w14:textId="77777777" w:rsidR="00965987" w:rsidRPr="00384029" w:rsidRDefault="00965987" w:rsidP="00965987">
            <w:pPr>
              <w:autoSpaceDE w:val="0"/>
              <w:autoSpaceDN w:val="0"/>
              <w:spacing w:before="240" w:after="24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 xml:space="preserve">La Guinée, après avoir connu plusieurs années de crises socio-politiques et institutionnelles, a ouvert une nouvelle page de son histoire avec de la prise du pouvoir par les forces de défense et de sécurité, le 5 septembre 2021. Les nouvelles autorités ont inscrit la refondation de l’État comme l’une des missions fondamentales de la transition. Le nouveau gouvernement positionne la modernisation de l’administration de l’Etat en phase avec l’ODD9, </w:t>
            </w:r>
            <w:r w:rsidRPr="00384029">
              <w:rPr>
                <w:rFonts w:ascii="Garamond" w:eastAsia="Times New Roman" w:hAnsi="Garamond" w:cs="Times New Roman"/>
                <w:i/>
                <w:iCs/>
                <w:sz w:val="24"/>
                <w:szCs w:val="24"/>
              </w:rPr>
              <w:t>Bâtir une infrastructure résiliente, promouvoir une industrialisation durable qui profite à tous et encourager l’innovation,</w:t>
            </w:r>
            <w:r w:rsidRPr="00384029">
              <w:rPr>
                <w:rFonts w:ascii="Garamond" w:eastAsia="Times New Roman" w:hAnsi="Garamond" w:cs="Times New Roman"/>
                <w:sz w:val="24"/>
                <w:szCs w:val="24"/>
              </w:rPr>
              <w:t xml:space="preserve"> comme action prioritaire en vue de permettre de réaliser les objectifs ultimes de bonne gouvernance, d’inclusion socio-économique et de facilitation d’accès aux services.</w:t>
            </w:r>
          </w:p>
          <w:p w14:paraId="69F6BE67" w14:textId="72E6E6E3" w:rsidR="00211611" w:rsidRPr="00384029" w:rsidRDefault="00965987" w:rsidP="00D7164A">
            <w:pPr>
              <w:spacing w:after="0" w:line="240"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 xml:space="preserve">Les actions susceptibles de redynamiser l’appareil Etatique en vue de l’amener à mieux s’acquitter de ses différentes missions ont pour objectifs l’amélioration du cadre institutionnel et organisationnel des administrations, l’adaptation des structures et des processus, la simplification des procédures et des formalités et l’amélioration des performances. </w:t>
            </w:r>
            <w:r w:rsidR="006B4C01" w:rsidRPr="00384029">
              <w:rPr>
                <w:rFonts w:ascii="Garamond" w:eastAsia="Times New Roman" w:hAnsi="Garamond" w:cs="Times New Roman"/>
                <w:sz w:val="24"/>
                <w:szCs w:val="24"/>
              </w:rPr>
              <w:t>Par conséquent, la Primature a fait du numérique un levier de développement économique, d’inclusion socio-économique et un outil pour une modernisation structurelle profonde et durable de la Guinée. À cette fin, et dans le cadre de l’accompagnement du PNUD à la transition, la Primature sollicite un</w:t>
            </w:r>
            <w:r w:rsidR="009B7563" w:rsidRPr="00384029">
              <w:rPr>
                <w:rFonts w:ascii="Garamond" w:eastAsia="Times New Roman" w:hAnsi="Garamond" w:cs="Times New Roman"/>
                <w:sz w:val="24"/>
                <w:szCs w:val="24"/>
              </w:rPr>
              <w:t xml:space="preserve"> (e)</w:t>
            </w:r>
            <w:r w:rsidR="006B4C01" w:rsidRPr="00384029">
              <w:rPr>
                <w:rFonts w:ascii="Garamond" w:eastAsia="Times New Roman" w:hAnsi="Garamond" w:cs="Times New Roman"/>
                <w:sz w:val="24"/>
                <w:szCs w:val="24"/>
              </w:rPr>
              <w:t xml:space="preserve"> consultant(</w:t>
            </w:r>
            <w:r w:rsidR="00EE01EC" w:rsidRPr="00384029">
              <w:rPr>
                <w:rFonts w:ascii="Garamond" w:eastAsia="Times New Roman" w:hAnsi="Garamond" w:cs="Times New Roman"/>
                <w:sz w:val="24"/>
                <w:szCs w:val="24"/>
              </w:rPr>
              <w:t>e</w:t>
            </w:r>
            <w:r w:rsidR="006B4C01" w:rsidRPr="00384029">
              <w:rPr>
                <w:rFonts w:ascii="Garamond" w:eastAsia="Times New Roman" w:hAnsi="Garamond" w:cs="Times New Roman"/>
                <w:sz w:val="24"/>
                <w:szCs w:val="24"/>
              </w:rPr>
              <w:t>)</w:t>
            </w:r>
            <w:r w:rsidR="00EE01EC" w:rsidRPr="00384029">
              <w:rPr>
                <w:rFonts w:ascii="Garamond" w:eastAsia="Times New Roman" w:hAnsi="Garamond" w:cs="Times New Roman"/>
                <w:sz w:val="24"/>
                <w:szCs w:val="24"/>
              </w:rPr>
              <w:t xml:space="preserve"> </w:t>
            </w:r>
            <w:r w:rsidR="006B4C01" w:rsidRPr="00384029">
              <w:rPr>
                <w:rFonts w:ascii="Garamond" w:eastAsia="Times New Roman" w:hAnsi="Garamond" w:cs="Times New Roman"/>
                <w:sz w:val="24"/>
                <w:szCs w:val="24"/>
              </w:rPr>
              <w:t xml:space="preserve">détaché auprès du Premier Ministre, spécialiste des questions de modernisation de l’administration pour aider à la définition de politiques publiques en matière de digitalisation, la conception et coordination des projets, l’appui à la mise en œuvre des activités au niveau des différents ministères. </w:t>
            </w:r>
          </w:p>
        </w:tc>
      </w:tr>
      <w:tr w:rsidR="00211611" w:rsidRPr="00384029" w14:paraId="758B32A1" w14:textId="77777777" w:rsidTr="00187DAF">
        <w:trPr>
          <w:trHeight w:val="370"/>
        </w:trPr>
        <w:tc>
          <w:tcPr>
            <w:tcW w:w="5000" w:type="pct"/>
            <w:gridSpan w:val="5"/>
            <w:shd w:val="clear" w:color="auto" w:fill="2907A5"/>
          </w:tcPr>
          <w:p w14:paraId="4E24D1A3" w14:textId="03529E49" w:rsidR="00211611" w:rsidRPr="00384029" w:rsidRDefault="0065467A" w:rsidP="008860D4">
            <w:pPr>
              <w:numPr>
                <w:ilvl w:val="0"/>
                <w:numId w:val="2"/>
              </w:numPr>
              <w:spacing w:after="0" w:line="276" w:lineRule="auto"/>
              <w:rPr>
                <w:rFonts w:ascii="Garamond" w:eastAsia="Times New Roman" w:hAnsi="Garamond" w:cs="Times New Roman"/>
                <w:sz w:val="24"/>
                <w:szCs w:val="24"/>
              </w:rPr>
            </w:pPr>
            <w:r w:rsidRPr="00384029">
              <w:rPr>
                <w:rFonts w:ascii="Garamond" w:eastAsia="Times New Roman" w:hAnsi="Garamond" w:cs="Times New Roman"/>
                <w:b/>
                <w:bCs/>
                <w:sz w:val="24"/>
                <w:szCs w:val="24"/>
              </w:rPr>
              <w:t>Objectifs :</w:t>
            </w:r>
          </w:p>
        </w:tc>
      </w:tr>
      <w:tr w:rsidR="00187DAF" w:rsidRPr="00384029" w14:paraId="0FD6858D" w14:textId="77777777" w:rsidTr="00211611">
        <w:trPr>
          <w:trHeight w:val="370"/>
        </w:trPr>
        <w:tc>
          <w:tcPr>
            <w:tcW w:w="5000" w:type="pct"/>
            <w:gridSpan w:val="5"/>
          </w:tcPr>
          <w:p w14:paraId="55AEAF13" w14:textId="77777777" w:rsidR="008C382C" w:rsidRPr="00384029" w:rsidRDefault="008C382C" w:rsidP="008C382C">
            <w:pPr>
              <w:autoSpaceDE w:val="0"/>
              <w:autoSpaceDN w:val="0"/>
              <w:spacing w:before="240" w:after="240" w:line="276" w:lineRule="auto"/>
              <w:rPr>
                <w:rFonts w:ascii="Garamond" w:eastAsia="Times New Roman" w:hAnsi="Garamond" w:cs="Times New Roman"/>
                <w:sz w:val="24"/>
                <w:szCs w:val="24"/>
              </w:rPr>
            </w:pPr>
            <w:r w:rsidRPr="00384029">
              <w:rPr>
                <w:rFonts w:ascii="Garamond" w:eastAsia="Times New Roman" w:hAnsi="Garamond" w:cs="Times New Roman"/>
                <w:sz w:val="24"/>
                <w:szCs w:val="24"/>
              </w:rPr>
              <w:t>La mission d’appui de l’expert national auprès du Premier Ministre à vise à :</w:t>
            </w:r>
          </w:p>
          <w:p w14:paraId="349DF827" w14:textId="77777777"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lastRenderedPageBreak/>
              <w:t xml:space="preserve">Analyser les questions relatives à la modernisation, en particulier les enjeux et les perspectives de la transition numérique en Guinée </w:t>
            </w:r>
          </w:p>
          <w:p w14:paraId="2B45AD16" w14:textId="77777777"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Conseiller à la demande du Premier Ministre, le Gouvernement sur l’élaboration, la conduite et l’évaluation des politiques et de l’action publiques pour la modernisation de l’Etat et la simplification des procédures,</w:t>
            </w:r>
          </w:p>
          <w:p w14:paraId="2B0DF252" w14:textId="77777777"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Faire la cartographie des projets et initiatives de chaque département pour un meilleur suivi de l’action gouvernementale en matière de modernisation et des NTIC</w:t>
            </w:r>
          </w:p>
          <w:p w14:paraId="5115F8A6" w14:textId="77777777"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Formuler de manière indépendante des recommandations contribuant à la décentralisation des initiatives, la dématérialisation des services publics, l’accès aux services et l’inclusion et  à la réduction de la fracture numérique</w:t>
            </w:r>
          </w:p>
          <w:p w14:paraId="52F0CF5F" w14:textId="5549CAAC"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 xml:space="preserve">Veiller à la cohérence, </w:t>
            </w:r>
            <w:r w:rsidR="005C2E5E">
              <w:rPr>
                <w:rFonts w:ascii="Garamond" w:hAnsi="Garamond" w:cs="Times New Roman"/>
                <w:sz w:val="24"/>
                <w:szCs w:val="24"/>
              </w:rPr>
              <w:t xml:space="preserve">à la </w:t>
            </w:r>
            <w:r w:rsidRPr="00384029">
              <w:rPr>
                <w:rFonts w:ascii="Garamond" w:hAnsi="Garamond" w:cs="Times New Roman"/>
                <w:sz w:val="24"/>
                <w:szCs w:val="24"/>
              </w:rPr>
              <w:t>mutualisation et à la convergence des différentes initiatives publiques dans le domaine des technologies de l’information de la communication</w:t>
            </w:r>
          </w:p>
          <w:p w14:paraId="7B504BE5" w14:textId="77777777"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Evaluer de manière indépendante l’impact des activités de digitalisation mises en œuvre</w:t>
            </w:r>
          </w:p>
          <w:p w14:paraId="527C8EF8" w14:textId="77777777" w:rsidR="00B82774" w:rsidRPr="00384029" w:rsidRDefault="00B82774"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Effectuer à la demande du Premier Ministre, des missions de prospective, d’expertise, d’étude, d’audit, de contrôle ou d’évaluation sur tout projet ou système d’information et de communication des ministères ou des organismes placés sous leur tutelle</w:t>
            </w:r>
          </w:p>
          <w:p w14:paraId="2D42D664" w14:textId="3A95B429" w:rsidR="008C382C" w:rsidRPr="00384029" w:rsidRDefault="008C382C" w:rsidP="008C382C">
            <w:pPr>
              <w:autoSpaceDE w:val="0"/>
              <w:autoSpaceDN w:val="0"/>
              <w:spacing w:before="240" w:after="240" w:line="276" w:lineRule="auto"/>
              <w:rPr>
                <w:rFonts w:ascii="Garamond" w:eastAsia="Times New Roman" w:hAnsi="Garamond" w:cs="Times New Roman"/>
                <w:sz w:val="24"/>
                <w:szCs w:val="24"/>
              </w:rPr>
            </w:pPr>
            <w:r w:rsidRPr="00384029">
              <w:rPr>
                <w:rFonts w:ascii="Garamond" w:eastAsia="Times New Roman" w:hAnsi="Garamond" w:cs="Times New Roman"/>
                <w:sz w:val="24"/>
                <w:szCs w:val="24"/>
              </w:rPr>
              <w:t>Au niveau de la Mise en œuvre des projets, le</w:t>
            </w:r>
            <w:r w:rsidR="00245272">
              <w:rPr>
                <w:rFonts w:ascii="Garamond" w:eastAsia="Times New Roman" w:hAnsi="Garamond" w:cs="Times New Roman"/>
                <w:sz w:val="24"/>
                <w:szCs w:val="24"/>
              </w:rPr>
              <w:t xml:space="preserve"> </w:t>
            </w:r>
            <w:r w:rsidRPr="00384029">
              <w:rPr>
                <w:rFonts w:ascii="Garamond" w:eastAsia="Times New Roman" w:hAnsi="Garamond" w:cs="Times New Roman"/>
                <w:sz w:val="24"/>
                <w:szCs w:val="24"/>
              </w:rPr>
              <w:t>(</w:t>
            </w:r>
            <w:r w:rsidR="00245272">
              <w:rPr>
                <w:rFonts w:ascii="Garamond" w:eastAsia="Times New Roman" w:hAnsi="Garamond" w:cs="Times New Roman"/>
                <w:sz w:val="24"/>
                <w:szCs w:val="24"/>
              </w:rPr>
              <w:t>la</w:t>
            </w:r>
            <w:r w:rsidRPr="00384029">
              <w:rPr>
                <w:rFonts w:ascii="Garamond" w:eastAsia="Times New Roman" w:hAnsi="Garamond" w:cs="Times New Roman"/>
                <w:sz w:val="24"/>
                <w:szCs w:val="24"/>
              </w:rPr>
              <w:t>) consultant(</w:t>
            </w:r>
            <w:r w:rsidR="00245272">
              <w:rPr>
                <w:rFonts w:ascii="Garamond" w:eastAsia="Times New Roman" w:hAnsi="Garamond" w:cs="Times New Roman"/>
                <w:sz w:val="24"/>
                <w:szCs w:val="24"/>
              </w:rPr>
              <w:t>e</w:t>
            </w:r>
            <w:r w:rsidRPr="00384029">
              <w:rPr>
                <w:rFonts w:ascii="Garamond" w:eastAsia="Times New Roman" w:hAnsi="Garamond" w:cs="Times New Roman"/>
                <w:sz w:val="24"/>
                <w:szCs w:val="24"/>
              </w:rPr>
              <w:t>) devra :</w:t>
            </w:r>
          </w:p>
          <w:p w14:paraId="78278E8B" w14:textId="06ED702E" w:rsidR="008C382C" w:rsidRPr="00384029" w:rsidRDefault="008C382C"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Collaborer avec les structures techniques du Gouvernement et particulièrement avec celles du Ministère en charge  du numérique dans la mise en œuvre des projets</w:t>
            </w:r>
          </w:p>
          <w:p w14:paraId="209470FF" w14:textId="27EA5393" w:rsidR="008C382C" w:rsidRPr="00384029" w:rsidRDefault="008C382C"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Plus spécifiquement collaborer avec les ministères en charge de l’éducation, l’enseignement supérieur, l’enseignement technique pour enraciner la culture digitale et avec le ministère en charge des PME pour Encourager les investissements dans le développement des initiatives, technopoles, entreprises du secteur numérique</w:t>
            </w:r>
          </w:p>
          <w:p w14:paraId="79BF9BE8" w14:textId="642E2970" w:rsidR="008C382C" w:rsidRPr="00384029" w:rsidRDefault="008C382C"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Apporter son assistance à l’ensemble des départements dans la supervision de leur projet de modernisation d’envergure nationale</w:t>
            </w:r>
          </w:p>
          <w:p w14:paraId="18662AC7" w14:textId="185B5785" w:rsidR="008C382C" w:rsidRPr="00C9042A" w:rsidRDefault="008C382C" w:rsidP="00C9042A">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Appuyer les structures techniques dans la planification et l’exécution des projets et initiatives</w:t>
            </w:r>
            <w:r w:rsidR="00C9042A">
              <w:rPr>
                <w:rFonts w:ascii="Garamond" w:hAnsi="Garamond" w:cs="Times New Roman"/>
                <w:sz w:val="24"/>
                <w:szCs w:val="24"/>
              </w:rPr>
              <w:t xml:space="preserve"> a</w:t>
            </w:r>
            <w:r w:rsidRPr="00C9042A">
              <w:rPr>
                <w:rFonts w:ascii="Garamond" w:hAnsi="Garamond" w:cs="Times New Roman"/>
                <w:sz w:val="24"/>
                <w:szCs w:val="24"/>
              </w:rPr>
              <w:t>u niveau de la Recherche de financement et de la promotion du digital</w:t>
            </w:r>
          </w:p>
          <w:p w14:paraId="2283D003" w14:textId="657AD959" w:rsidR="008C382C" w:rsidRPr="00384029" w:rsidRDefault="008C382C"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Assurer le lien avec le PNUD et d’autres partenaires au développement mais aussi privés pour la mobilisation des ressources nécessaires aux financements des projets inscrits dans le plan national de digitalisation</w:t>
            </w:r>
          </w:p>
          <w:p w14:paraId="6341C25E" w14:textId="77777777" w:rsidR="00B82774" w:rsidRPr="00384029" w:rsidRDefault="008C382C" w:rsidP="00B82774">
            <w:pPr>
              <w:pStyle w:val="Paragraphedeliste"/>
              <w:numPr>
                <w:ilvl w:val="0"/>
                <w:numId w:val="12"/>
              </w:numPr>
              <w:spacing w:after="0" w:line="240" w:lineRule="auto"/>
              <w:jc w:val="both"/>
              <w:rPr>
                <w:rFonts w:ascii="Garamond" w:hAnsi="Garamond" w:cs="Times New Roman"/>
                <w:sz w:val="24"/>
                <w:szCs w:val="24"/>
              </w:rPr>
            </w:pPr>
            <w:r w:rsidRPr="00384029">
              <w:rPr>
                <w:rFonts w:ascii="Garamond" w:hAnsi="Garamond" w:cs="Times New Roman"/>
                <w:sz w:val="24"/>
                <w:szCs w:val="24"/>
              </w:rPr>
              <w:t xml:space="preserve">Appuyer toute action visant la promotion du secteur numérique </w:t>
            </w:r>
          </w:p>
          <w:p w14:paraId="52869387" w14:textId="28E241D8" w:rsidR="00187DAF" w:rsidRPr="00384029" w:rsidRDefault="008C382C" w:rsidP="00720658">
            <w:pPr>
              <w:pStyle w:val="Paragraphedeliste"/>
              <w:numPr>
                <w:ilvl w:val="0"/>
                <w:numId w:val="12"/>
              </w:numPr>
              <w:spacing w:after="0" w:line="240"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 xml:space="preserve">Appuyer le Gouvernement dans l’organisation des journées nationales du digital </w:t>
            </w:r>
          </w:p>
        </w:tc>
      </w:tr>
      <w:tr w:rsidR="009230CA" w:rsidRPr="00384029" w14:paraId="04F2338B" w14:textId="77777777" w:rsidTr="00292D43">
        <w:trPr>
          <w:trHeight w:val="314"/>
        </w:trPr>
        <w:tc>
          <w:tcPr>
            <w:tcW w:w="5000" w:type="pct"/>
            <w:gridSpan w:val="5"/>
            <w:shd w:val="clear" w:color="auto" w:fill="2907A5"/>
          </w:tcPr>
          <w:p w14:paraId="1A3BD8A0" w14:textId="2DB71E2C" w:rsidR="009230CA" w:rsidRPr="00384029" w:rsidRDefault="008860D4" w:rsidP="008860D4">
            <w:pPr>
              <w:numPr>
                <w:ilvl w:val="0"/>
                <w:numId w:val="2"/>
              </w:numPr>
              <w:spacing w:after="0" w:line="276" w:lineRule="auto"/>
              <w:rPr>
                <w:rFonts w:ascii="Garamond" w:eastAsia="Times New Roman" w:hAnsi="Garamond" w:cs="Times New Roman"/>
                <w:b/>
                <w:bCs/>
                <w:sz w:val="24"/>
                <w:szCs w:val="24"/>
              </w:rPr>
            </w:pPr>
            <w:r w:rsidRPr="00384029">
              <w:rPr>
                <w:rFonts w:ascii="Garamond" w:eastAsia="Times New Roman" w:hAnsi="Garamond" w:cs="Times New Roman"/>
                <w:b/>
                <w:bCs/>
                <w:sz w:val="24"/>
                <w:szCs w:val="24"/>
              </w:rPr>
              <w:lastRenderedPageBreak/>
              <w:t>Champs des travaux et livrables</w:t>
            </w:r>
          </w:p>
        </w:tc>
      </w:tr>
      <w:tr w:rsidR="00292D43" w:rsidRPr="00384029" w14:paraId="766D082F" w14:textId="77777777" w:rsidTr="00292D43">
        <w:trPr>
          <w:trHeight w:val="314"/>
        </w:trPr>
        <w:tc>
          <w:tcPr>
            <w:tcW w:w="5000" w:type="pct"/>
            <w:gridSpan w:val="5"/>
          </w:tcPr>
          <w:p w14:paraId="4D5AA8AE" w14:textId="7665C985" w:rsidR="00F6213E" w:rsidRDefault="00F6213E" w:rsidP="00F6213E">
            <w:pPr>
              <w:spacing w:after="0" w:line="240" w:lineRule="auto"/>
              <w:rPr>
                <w:rFonts w:ascii="Garamond" w:hAnsi="Garamond" w:cs="Times New Roman"/>
                <w:sz w:val="24"/>
                <w:szCs w:val="24"/>
              </w:rPr>
            </w:pPr>
            <w:r w:rsidRPr="00384029">
              <w:rPr>
                <w:rFonts w:ascii="Garamond" w:hAnsi="Garamond" w:cs="Times New Roman"/>
                <w:sz w:val="24"/>
                <w:szCs w:val="24"/>
              </w:rPr>
              <w:t>Au cours de la mission les livrables ci-après sont attendus :</w:t>
            </w:r>
          </w:p>
          <w:p w14:paraId="39F0D9E5" w14:textId="77777777" w:rsidR="0024747F" w:rsidRPr="00384029" w:rsidRDefault="0024747F" w:rsidP="00F6213E">
            <w:pPr>
              <w:spacing w:after="0" w:line="240" w:lineRule="auto"/>
              <w:rPr>
                <w:rFonts w:ascii="Garamond" w:hAnsi="Garamond" w:cs="Times New Roman"/>
                <w:sz w:val="24"/>
                <w:szCs w:val="24"/>
              </w:rPr>
            </w:pPr>
          </w:p>
          <w:p w14:paraId="463FF8FA" w14:textId="77777777" w:rsidR="00B33EEB" w:rsidRDefault="00F6213E" w:rsidP="00B33EEB">
            <w:pPr>
              <w:pStyle w:val="Paragraphedeliste"/>
              <w:numPr>
                <w:ilvl w:val="0"/>
                <w:numId w:val="11"/>
              </w:numPr>
              <w:spacing w:after="0" w:line="240" w:lineRule="auto"/>
              <w:rPr>
                <w:rFonts w:ascii="Garamond" w:hAnsi="Garamond" w:cs="Times New Roman"/>
                <w:sz w:val="24"/>
                <w:szCs w:val="24"/>
              </w:rPr>
            </w:pPr>
            <w:r w:rsidRPr="00384029">
              <w:rPr>
                <w:rFonts w:ascii="Garamond" w:hAnsi="Garamond" w:cs="Times New Roman"/>
                <w:sz w:val="24"/>
                <w:szCs w:val="24"/>
              </w:rPr>
              <w:t xml:space="preserve">Une cartographie des projets gouvernementaux à effectuer </w:t>
            </w:r>
          </w:p>
          <w:p w14:paraId="3FE1D90D" w14:textId="4CC54048" w:rsidR="00F6213E" w:rsidRPr="00B33EEB" w:rsidRDefault="00F6213E" w:rsidP="00B33EEB">
            <w:pPr>
              <w:pStyle w:val="Paragraphedeliste"/>
              <w:numPr>
                <w:ilvl w:val="0"/>
                <w:numId w:val="11"/>
              </w:numPr>
              <w:spacing w:after="0" w:line="240" w:lineRule="auto"/>
              <w:rPr>
                <w:rFonts w:ascii="Garamond" w:hAnsi="Garamond" w:cs="Times New Roman"/>
                <w:sz w:val="24"/>
                <w:szCs w:val="24"/>
              </w:rPr>
            </w:pPr>
            <w:r w:rsidRPr="00B33EEB">
              <w:rPr>
                <w:rFonts w:ascii="Garamond" w:hAnsi="Garamond" w:cs="Times New Roman"/>
                <w:sz w:val="24"/>
                <w:szCs w:val="24"/>
              </w:rPr>
              <w:t>Un plan national de la digitalisation et de modernisation de la Guinée horizon 2035 regroupant tous les projets prioritaires.</w:t>
            </w:r>
            <w:r w:rsidR="00B33EEB" w:rsidRPr="00B33EEB">
              <w:rPr>
                <w:rFonts w:ascii="Garamond" w:hAnsi="Garamond" w:cs="Times New Roman"/>
                <w:sz w:val="24"/>
                <w:szCs w:val="24"/>
              </w:rPr>
              <w:t xml:space="preserve"> </w:t>
            </w:r>
          </w:p>
          <w:p w14:paraId="5650ADB3" w14:textId="77777777" w:rsidR="00F6213E" w:rsidRPr="00384029" w:rsidRDefault="00F6213E" w:rsidP="00F6213E">
            <w:pPr>
              <w:pStyle w:val="Paragraphedeliste"/>
              <w:numPr>
                <w:ilvl w:val="0"/>
                <w:numId w:val="11"/>
              </w:numPr>
              <w:spacing w:after="0" w:line="240" w:lineRule="auto"/>
              <w:rPr>
                <w:rFonts w:ascii="Garamond" w:hAnsi="Garamond" w:cs="Times New Roman"/>
                <w:sz w:val="24"/>
                <w:szCs w:val="24"/>
              </w:rPr>
            </w:pPr>
            <w:r w:rsidRPr="000A4211">
              <w:rPr>
                <w:rFonts w:ascii="Garamond" w:hAnsi="Garamond" w:cs="Times New Roman"/>
                <w:sz w:val="24"/>
                <w:szCs w:val="24"/>
              </w:rPr>
              <w:t>La mise en place d’une cellule de coord</w:t>
            </w:r>
            <w:r w:rsidRPr="00384029">
              <w:rPr>
                <w:rFonts w:ascii="Garamond" w:hAnsi="Garamond" w:cs="Times New Roman"/>
                <w:sz w:val="24"/>
                <w:szCs w:val="24"/>
              </w:rPr>
              <w:t>ination des initiatives de modernisation de l’Etat : constituée des responsables des services informatiques des départements ministériels</w:t>
            </w:r>
          </w:p>
          <w:p w14:paraId="70248E08" w14:textId="77777777" w:rsidR="00F6213E" w:rsidRPr="00384029" w:rsidRDefault="00F6213E" w:rsidP="00F6213E">
            <w:pPr>
              <w:pStyle w:val="Paragraphedeliste"/>
              <w:numPr>
                <w:ilvl w:val="0"/>
                <w:numId w:val="11"/>
              </w:numPr>
              <w:spacing w:after="0" w:line="240" w:lineRule="auto"/>
              <w:rPr>
                <w:rFonts w:ascii="Garamond" w:hAnsi="Garamond" w:cs="Times New Roman"/>
                <w:sz w:val="24"/>
                <w:szCs w:val="24"/>
              </w:rPr>
            </w:pPr>
            <w:r w:rsidRPr="00384029">
              <w:rPr>
                <w:rFonts w:ascii="Garamond" w:hAnsi="Garamond" w:cs="Times New Roman"/>
                <w:sz w:val="24"/>
                <w:szCs w:val="24"/>
              </w:rPr>
              <w:t>Un rapport mensuel de suivi de l’avancement des projets sectoriels, soulignant les goulots d’étranglement, et suggérant les pistes opportunes d’accélération.</w:t>
            </w:r>
          </w:p>
          <w:p w14:paraId="2C3C1F9F" w14:textId="77777777" w:rsidR="00292D43" w:rsidRDefault="00F6213E" w:rsidP="0020571C">
            <w:pPr>
              <w:pStyle w:val="Paragraphedeliste"/>
              <w:numPr>
                <w:ilvl w:val="0"/>
                <w:numId w:val="11"/>
              </w:numPr>
              <w:spacing w:after="0" w:line="240" w:lineRule="auto"/>
              <w:rPr>
                <w:rFonts w:ascii="Garamond" w:hAnsi="Garamond" w:cs="Times New Roman"/>
                <w:sz w:val="24"/>
                <w:szCs w:val="24"/>
              </w:rPr>
            </w:pPr>
            <w:r w:rsidRPr="00384029">
              <w:rPr>
                <w:rFonts w:ascii="Garamond" w:hAnsi="Garamond" w:cs="Times New Roman"/>
                <w:sz w:val="24"/>
                <w:szCs w:val="24"/>
              </w:rPr>
              <w:t>Des notes de réflexion au besoin sur les activités en cours</w:t>
            </w:r>
          </w:p>
          <w:p w14:paraId="2BDDC8CC" w14:textId="2961E933" w:rsidR="0020571C" w:rsidRPr="0020571C" w:rsidRDefault="0020571C" w:rsidP="0020571C">
            <w:pPr>
              <w:pStyle w:val="Paragraphedeliste"/>
              <w:spacing w:after="0" w:line="240" w:lineRule="auto"/>
              <w:rPr>
                <w:rFonts w:ascii="Garamond" w:hAnsi="Garamond" w:cs="Times New Roman"/>
                <w:sz w:val="24"/>
                <w:szCs w:val="24"/>
              </w:rPr>
            </w:pPr>
          </w:p>
        </w:tc>
      </w:tr>
      <w:tr w:rsidR="009230CA" w:rsidRPr="00384029" w14:paraId="35A84FC6" w14:textId="77777777" w:rsidTr="00292D43">
        <w:trPr>
          <w:trHeight w:val="370"/>
        </w:trPr>
        <w:tc>
          <w:tcPr>
            <w:tcW w:w="5000" w:type="pct"/>
            <w:gridSpan w:val="5"/>
            <w:shd w:val="clear" w:color="auto" w:fill="2907A5"/>
          </w:tcPr>
          <w:p w14:paraId="54149BC2" w14:textId="3C20F270" w:rsidR="009230CA" w:rsidRPr="00384029" w:rsidRDefault="00061088" w:rsidP="008D74BA">
            <w:pPr>
              <w:numPr>
                <w:ilvl w:val="0"/>
                <w:numId w:val="2"/>
              </w:numPr>
              <w:spacing w:after="0" w:line="276" w:lineRule="auto"/>
              <w:rPr>
                <w:rFonts w:ascii="Garamond" w:eastAsia="Times New Roman" w:hAnsi="Garamond" w:cs="Times New Roman"/>
                <w:b/>
                <w:bCs/>
                <w:sz w:val="24"/>
                <w:szCs w:val="24"/>
              </w:rPr>
            </w:pPr>
            <w:r w:rsidRPr="00384029">
              <w:rPr>
                <w:rFonts w:ascii="Garamond" w:eastAsia="Times New Roman" w:hAnsi="Garamond" w:cs="Times New Roman"/>
                <w:b/>
                <w:bCs/>
                <w:sz w:val="24"/>
                <w:szCs w:val="24"/>
              </w:rPr>
              <w:t>Méthodologie</w:t>
            </w:r>
          </w:p>
        </w:tc>
      </w:tr>
      <w:tr w:rsidR="00B643AC" w:rsidRPr="00384029" w14:paraId="22942E49" w14:textId="77777777" w:rsidTr="00B643AC">
        <w:trPr>
          <w:trHeight w:val="370"/>
        </w:trPr>
        <w:tc>
          <w:tcPr>
            <w:tcW w:w="5000" w:type="pct"/>
            <w:gridSpan w:val="5"/>
            <w:shd w:val="clear" w:color="auto" w:fill="FFFFFF" w:themeFill="background1"/>
          </w:tcPr>
          <w:p w14:paraId="5435C59A" w14:textId="0338E6AA" w:rsidR="00021BCB" w:rsidRPr="00384029" w:rsidRDefault="00021BCB" w:rsidP="00021BCB">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lastRenderedPageBreak/>
              <w:t>L</w:t>
            </w:r>
            <w:r w:rsidR="0020571C">
              <w:rPr>
                <w:rFonts w:ascii="Garamond" w:eastAsia="Times New Roman" w:hAnsi="Garamond" w:cs="Times New Roman"/>
                <w:sz w:val="24"/>
                <w:szCs w:val="24"/>
              </w:rPr>
              <w:t>’</w:t>
            </w:r>
            <w:r w:rsidRPr="00384029">
              <w:rPr>
                <w:rFonts w:ascii="Garamond" w:eastAsia="Times New Roman" w:hAnsi="Garamond" w:cs="Times New Roman"/>
                <w:sz w:val="24"/>
                <w:szCs w:val="24"/>
              </w:rPr>
              <w:t xml:space="preserve"> expertise mise à disposition de la Primature, travailler</w:t>
            </w:r>
            <w:r w:rsidR="0020571C">
              <w:rPr>
                <w:rFonts w:ascii="Garamond" w:eastAsia="Times New Roman" w:hAnsi="Garamond" w:cs="Times New Roman"/>
                <w:sz w:val="24"/>
                <w:szCs w:val="24"/>
              </w:rPr>
              <w:t>a</w:t>
            </w:r>
            <w:r w:rsidRPr="00384029">
              <w:rPr>
                <w:rFonts w:ascii="Garamond" w:eastAsia="Times New Roman" w:hAnsi="Garamond" w:cs="Times New Roman"/>
                <w:sz w:val="24"/>
                <w:szCs w:val="24"/>
              </w:rPr>
              <w:t xml:space="preserve"> étroitement avec le Premier ministre, son Cabinet, les ministères </w:t>
            </w:r>
            <w:r w:rsidR="00BF0B03" w:rsidRPr="00384029">
              <w:rPr>
                <w:rFonts w:ascii="Garamond" w:eastAsia="Times New Roman" w:hAnsi="Garamond" w:cs="Times New Roman"/>
                <w:sz w:val="24"/>
                <w:szCs w:val="24"/>
              </w:rPr>
              <w:t xml:space="preserve">clés et sectoriels </w:t>
            </w:r>
            <w:r w:rsidRPr="00384029">
              <w:rPr>
                <w:rFonts w:ascii="Garamond" w:eastAsia="Times New Roman" w:hAnsi="Garamond" w:cs="Times New Roman"/>
                <w:sz w:val="24"/>
                <w:szCs w:val="24"/>
              </w:rPr>
              <w:t>ainsi que les différentes parties prenantes concerné</w:t>
            </w:r>
            <w:r w:rsidR="0080463B">
              <w:rPr>
                <w:rFonts w:ascii="Garamond" w:eastAsia="Times New Roman" w:hAnsi="Garamond" w:cs="Times New Roman"/>
                <w:sz w:val="24"/>
                <w:szCs w:val="24"/>
              </w:rPr>
              <w:t>e</w:t>
            </w:r>
            <w:r w:rsidRPr="00384029">
              <w:rPr>
                <w:rFonts w:ascii="Garamond" w:eastAsia="Times New Roman" w:hAnsi="Garamond" w:cs="Times New Roman"/>
                <w:sz w:val="24"/>
                <w:szCs w:val="24"/>
              </w:rPr>
              <w:t>s par ces questions.</w:t>
            </w:r>
          </w:p>
          <w:p w14:paraId="708E6A62" w14:textId="49F03901" w:rsidR="00B643AC" w:rsidRPr="00384029" w:rsidRDefault="00021BCB" w:rsidP="00021BCB">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 xml:space="preserve">De même, une collaboration étroite avec le PNUD - Cluster gouvernance et Cluster Transformation économique et développement durable - sera établie afin d’enrichir le travail à effectuer et de diversifier les pistes de solutions sur les questions </w:t>
            </w:r>
            <w:r w:rsidR="00BF0B03" w:rsidRPr="00384029">
              <w:rPr>
                <w:rFonts w:ascii="Garamond" w:eastAsia="Times New Roman" w:hAnsi="Garamond" w:cs="Times New Roman"/>
                <w:sz w:val="24"/>
                <w:szCs w:val="24"/>
              </w:rPr>
              <w:t xml:space="preserve">de l’économie numérique </w:t>
            </w:r>
            <w:r w:rsidRPr="00384029">
              <w:rPr>
                <w:rFonts w:ascii="Garamond" w:eastAsia="Times New Roman" w:hAnsi="Garamond" w:cs="Times New Roman"/>
                <w:sz w:val="24"/>
                <w:szCs w:val="24"/>
              </w:rPr>
              <w:t xml:space="preserve">telles que portées par le PNUD et les autres agences du système des NU en Guinée.  </w:t>
            </w:r>
          </w:p>
        </w:tc>
      </w:tr>
      <w:tr w:rsidR="008D74BA" w:rsidRPr="00384029" w14:paraId="3E58936C" w14:textId="77777777" w:rsidTr="008D74BA">
        <w:trPr>
          <w:trHeight w:val="370"/>
        </w:trPr>
        <w:tc>
          <w:tcPr>
            <w:tcW w:w="5000" w:type="pct"/>
            <w:gridSpan w:val="5"/>
            <w:shd w:val="clear" w:color="auto" w:fill="2907A5"/>
          </w:tcPr>
          <w:p w14:paraId="14593BD2" w14:textId="2048E749" w:rsidR="008D74BA" w:rsidRPr="00384029" w:rsidRDefault="00A43FFD" w:rsidP="00A43FFD">
            <w:pPr>
              <w:pStyle w:val="Paragraphedeliste"/>
              <w:numPr>
                <w:ilvl w:val="0"/>
                <w:numId w:val="2"/>
              </w:num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b/>
                <w:bCs/>
                <w:sz w:val="24"/>
                <w:szCs w:val="24"/>
              </w:rPr>
              <w:t>Durée de la mission et calendrier</w:t>
            </w:r>
          </w:p>
        </w:tc>
      </w:tr>
      <w:tr w:rsidR="008D74BA" w:rsidRPr="00384029" w14:paraId="67A15B3C" w14:textId="77777777" w:rsidTr="00B643AC">
        <w:trPr>
          <w:trHeight w:val="370"/>
        </w:trPr>
        <w:tc>
          <w:tcPr>
            <w:tcW w:w="5000" w:type="pct"/>
            <w:gridSpan w:val="5"/>
            <w:shd w:val="clear" w:color="auto" w:fill="FFFFFF" w:themeFill="background1"/>
          </w:tcPr>
          <w:p w14:paraId="6DEAE6B3" w14:textId="48B8E709" w:rsidR="008D74BA" w:rsidRPr="00384029" w:rsidRDefault="00473306" w:rsidP="00B643AC">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La durée du contrat est de 90 jours à compter de la date de signature du contrat.</w:t>
            </w:r>
          </w:p>
        </w:tc>
      </w:tr>
      <w:tr w:rsidR="008D74BA" w:rsidRPr="00384029" w14:paraId="0E1256D8" w14:textId="77777777" w:rsidTr="00A43FFD">
        <w:trPr>
          <w:trHeight w:val="370"/>
        </w:trPr>
        <w:tc>
          <w:tcPr>
            <w:tcW w:w="5000" w:type="pct"/>
            <w:gridSpan w:val="5"/>
            <w:shd w:val="clear" w:color="auto" w:fill="2907A5"/>
          </w:tcPr>
          <w:p w14:paraId="23F1CB56" w14:textId="5B2F9438" w:rsidR="008D74BA" w:rsidRPr="00384029" w:rsidRDefault="00001BBD" w:rsidP="00A43FFD">
            <w:pPr>
              <w:pStyle w:val="Paragraphedeliste"/>
              <w:numPr>
                <w:ilvl w:val="0"/>
                <w:numId w:val="2"/>
              </w:num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b/>
                <w:bCs/>
                <w:sz w:val="24"/>
                <w:szCs w:val="24"/>
              </w:rPr>
              <w:t>Qualifications du consultant</w:t>
            </w:r>
          </w:p>
        </w:tc>
      </w:tr>
      <w:tr w:rsidR="00AD07C6" w:rsidRPr="00384029" w14:paraId="24528881" w14:textId="77777777" w:rsidTr="000D308A">
        <w:trPr>
          <w:trHeight w:val="344"/>
        </w:trPr>
        <w:tc>
          <w:tcPr>
            <w:tcW w:w="1249" w:type="pct"/>
            <w:shd w:val="clear" w:color="auto" w:fill="FFFFFF" w:themeFill="background1"/>
          </w:tcPr>
          <w:p w14:paraId="5D5D5518" w14:textId="77777777" w:rsidR="00AD07C6" w:rsidRPr="00384029" w:rsidRDefault="00AD07C6" w:rsidP="00AD07C6">
            <w:pPr>
              <w:spacing w:after="0" w:line="276" w:lineRule="auto"/>
              <w:rPr>
                <w:rFonts w:ascii="Garamond" w:eastAsia="Times New Roman" w:hAnsi="Garamond" w:cs="Times New Roman"/>
                <w:sz w:val="24"/>
                <w:szCs w:val="24"/>
                <w:lang w:val="en-US"/>
              </w:rPr>
            </w:pPr>
          </w:p>
          <w:p w14:paraId="552AEBB8" w14:textId="3E0C40EF" w:rsidR="00AD07C6" w:rsidRPr="00384029" w:rsidRDefault="00C925CF" w:rsidP="00AD07C6">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lang w:val="en-US"/>
              </w:rPr>
              <w:t>Education</w:t>
            </w:r>
            <w:r w:rsidR="00AD07C6" w:rsidRPr="00384029">
              <w:rPr>
                <w:rFonts w:ascii="Garamond" w:eastAsia="Times New Roman" w:hAnsi="Garamond" w:cs="Times New Roman"/>
                <w:sz w:val="24"/>
                <w:szCs w:val="24"/>
                <w:lang w:val="en-US"/>
              </w:rPr>
              <w:t xml:space="preserve"> :</w:t>
            </w:r>
          </w:p>
        </w:tc>
        <w:tc>
          <w:tcPr>
            <w:tcW w:w="3751" w:type="pct"/>
            <w:gridSpan w:val="4"/>
            <w:shd w:val="clear" w:color="auto" w:fill="FFFFFF" w:themeFill="background1"/>
          </w:tcPr>
          <w:p w14:paraId="535FFBFA" w14:textId="24167F38" w:rsidR="00AD07C6" w:rsidRPr="00384029" w:rsidRDefault="00AD07C6" w:rsidP="00AD07C6">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 xml:space="preserve">L’expert (e) doit </w:t>
            </w:r>
            <w:r w:rsidR="00D5692F" w:rsidRPr="00384029">
              <w:rPr>
                <w:rFonts w:ascii="Garamond" w:eastAsia="Times New Roman" w:hAnsi="Garamond" w:cs="Times New Roman"/>
                <w:sz w:val="24"/>
                <w:szCs w:val="24"/>
              </w:rPr>
              <w:t xml:space="preserve">être Ingénieur en Informatique, NTIC ou équivalent </w:t>
            </w:r>
            <w:r w:rsidRPr="00384029">
              <w:rPr>
                <w:rFonts w:ascii="Garamond" w:eastAsia="Times New Roman" w:hAnsi="Garamond" w:cs="Times New Roman"/>
                <w:sz w:val="24"/>
                <w:szCs w:val="24"/>
              </w:rPr>
              <w:t>(Bac+5).</w:t>
            </w:r>
          </w:p>
        </w:tc>
      </w:tr>
      <w:tr w:rsidR="00AD07C6" w:rsidRPr="00384029" w14:paraId="0A2F3660" w14:textId="77777777" w:rsidTr="000D308A">
        <w:trPr>
          <w:trHeight w:val="344"/>
        </w:trPr>
        <w:tc>
          <w:tcPr>
            <w:tcW w:w="1249" w:type="pct"/>
            <w:shd w:val="clear" w:color="auto" w:fill="FFFFFF" w:themeFill="background1"/>
          </w:tcPr>
          <w:p w14:paraId="02E7FCED" w14:textId="77777777" w:rsidR="00AD07C6" w:rsidRPr="00384029" w:rsidRDefault="00AD07C6" w:rsidP="00AD07C6">
            <w:pPr>
              <w:spacing w:after="0" w:line="276" w:lineRule="auto"/>
              <w:rPr>
                <w:rFonts w:ascii="Garamond" w:eastAsia="Times New Roman" w:hAnsi="Garamond" w:cs="Times New Roman"/>
                <w:sz w:val="24"/>
                <w:szCs w:val="24"/>
              </w:rPr>
            </w:pPr>
          </w:p>
          <w:p w14:paraId="6444C3BB" w14:textId="18DEC0F4" w:rsidR="00AD07C6" w:rsidRPr="00384029" w:rsidRDefault="00AD07C6" w:rsidP="00AD07C6">
            <w:pPr>
              <w:autoSpaceDE w:val="0"/>
              <w:autoSpaceDN w:val="0"/>
              <w:spacing w:after="0" w:line="276" w:lineRule="auto"/>
              <w:jc w:val="both"/>
              <w:rPr>
                <w:rFonts w:ascii="Garamond" w:eastAsia="Times New Roman" w:hAnsi="Garamond" w:cs="Times New Roman"/>
                <w:sz w:val="24"/>
                <w:szCs w:val="24"/>
              </w:rPr>
            </w:pPr>
            <w:proofErr w:type="spellStart"/>
            <w:r w:rsidRPr="00384029">
              <w:rPr>
                <w:rFonts w:ascii="Garamond" w:eastAsia="Times New Roman" w:hAnsi="Garamond" w:cs="Times New Roman"/>
                <w:sz w:val="24"/>
                <w:szCs w:val="24"/>
                <w:lang w:val="en-US"/>
              </w:rPr>
              <w:t>Expériences</w:t>
            </w:r>
            <w:proofErr w:type="spellEnd"/>
            <w:r w:rsidRPr="00384029">
              <w:rPr>
                <w:rFonts w:ascii="Garamond" w:eastAsia="Times New Roman" w:hAnsi="Garamond" w:cs="Times New Roman"/>
                <w:sz w:val="24"/>
                <w:szCs w:val="24"/>
                <w:lang w:val="en-US"/>
              </w:rPr>
              <w:t xml:space="preserve"> :</w:t>
            </w:r>
          </w:p>
        </w:tc>
        <w:tc>
          <w:tcPr>
            <w:tcW w:w="3751" w:type="pct"/>
            <w:gridSpan w:val="4"/>
            <w:shd w:val="clear" w:color="auto" w:fill="FFFFFF" w:themeFill="background1"/>
          </w:tcPr>
          <w:p w14:paraId="7105E500" w14:textId="620B6FCB" w:rsidR="00AD07C6" w:rsidRPr="00384029" w:rsidRDefault="00D5692F" w:rsidP="0080463B">
            <w:pPr>
              <w:spacing w:after="0" w:line="276" w:lineRule="auto"/>
              <w:rPr>
                <w:rFonts w:ascii="Garamond" w:eastAsia="Times New Roman" w:hAnsi="Garamond" w:cs="Times New Roman"/>
                <w:sz w:val="24"/>
                <w:szCs w:val="24"/>
              </w:rPr>
            </w:pPr>
            <w:r w:rsidRPr="00384029">
              <w:rPr>
                <w:rFonts w:ascii="Garamond" w:eastAsia="Times New Roman" w:hAnsi="Garamond" w:cs="Times New Roman"/>
                <w:sz w:val="24"/>
                <w:szCs w:val="24"/>
              </w:rPr>
              <w:t xml:space="preserve">Avoir un minimum de 5 ans d’expérience dans la mise en œuvre de système d’information ainsi que dans la gestion des </w:t>
            </w:r>
            <w:r w:rsidR="00EC0969" w:rsidRPr="00384029">
              <w:rPr>
                <w:rFonts w:ascii="Garamond" w:eastAsia="Times New Roman" w:hAnsi="Garamond" w:cs="Times New Roman"/>
                <w:sz w:val="24"/>
                <w:szCs w:val="24"/>
              </w:rPr>
              <w:t>pr</w:t>
            </w:r>
            <w:r w:rsidRPr="00384029">
              <w:rPr>
                <w:rFonts w:ascii="Garamond" w:eastAsia="Times New Roman" w:hAnsi="Garamond" w:cs="Times New Roman"/>
                <w:sz w:val="24"/>
                <w:szCs w:val="24"/>
              </w:rPr>
              <w:t xml:space="preserve">ojets gouvernementaux </w:t>
            </w:r>
            <w:r w:rsidR="00EC0969" w:rsidRPr="00384029">
              <w:rPr>
                <w:rFonts w:ascii="Garamond" w:eastAsia="Times New Roman" w:hAnsi="Garamond" w:cs="Times New Roman"/>
                <w:sz w:val="24"/>
                <w:szCs w:val="24"/>
              </w:rPr>
              <w:t>en Guinée. Il doit a</w:t>
            </w:r>
            <w:r w:rsidRPr="00384029">
              <w:rPr>
                <w:rFonts w:ascii="Garamond" w:eastAsia="Times New Roman" w:hAnsi="Garamond" w:cs="Times New Roman"/>
                <w:sz w:val="24"/>
                <w:szCs w:val="24"/>
              </w:rPr>
              <w:t>voir une bonne connaissance de l’administration guinéenne, des services du ministère en charge de l’économie numérique</w:t>
            </w:r>
            <w:r w:rsidR="0080463B">
              <w:rPr>
                <w:rFonts w:ascii="Garamond" w:eastAsia="Times New Roman" w:hAnsi="Garamond" w:cs="Times New Roman"/>
                <w:sz w:val="24"/>
                <w:szCs w:val="24"/>
              </w:rPr>
              <w:t xml:space="preserve">, </w:t>
            </w:r>
            <w:r w:rsidRPr="00384029">
              <w:rPr>
                <w:rFonts w:ascii="Garamond" w:eastAsia="Times New Roman" w:hAnsi="Garamond" w:cs="Times New Roman"/>
                <w:sz w:val="24"/>
                <w:szCs w:val="24"/>
              </w:rPr>
              <w:t xml:space="preserve">de l’environnement social, politique et économique </w:t>
            </w:r>
            <w:r w:rsidR="00F942D1" w:rsidRPr="00384029">
              <w:rPr>
                <w:rFonts w:ascii="Garamond" w:eastAsia="Times New Roman" w:hAnsi="Garamond" w:cs="Times New Roman"/>
                <w:sz w:val="24"/>
                <w:szCs w:val="24"/>
              </w:rPr>
              <w:t>du pays</w:t>
            </w:r>
            <w:r w:rsidR="0080463B">
              <w:rPr>
                <w:rFonts w:ascii="Garamond" w:eastAsia="Times New Roman" w:hAnsi="Garamond" w:cs="Times New Roman"/>
                <w:sz w:val="24"/>
                <w:szCs w:val="24"/>
              </w:rPr>
              <w:t>.</w:t>
            </w:r>
          </w:p>
        </w:tc>
      </w:tr>
      <w:tr w:rsidR="00AD07C6" w:rsidRPr="00384029" w14:paraId="5781729C" w14:textId="77777777" w:rsidTr="000D308A">
        <w:trPr>
          <w:trHeight w:val="344"/>
        </w:trPr>
        <w:tc>
          <w:tcPr>
            <w:tcW w:w="1249" w:type="pct"/>
            <w:shd w:val="clear" w:color="auto" w:fill="FFFFFF" w:themeFill="background1"/>
          </w:tcPr>
          <w:p w14:paraId="6935A93A" w14:textId="77777777" w:rsidR="00AD07C6" w:rsidRPr="00384029" w:rsidRDefault="00AD07C6" w:rsidP="00AD07C6">
            <w:pPr>
              <w:spacing w:after="0" w:line="276" w:lineRule="auto"/>
              <w:rPr>
                <w:rFonts w:ascii="Garamond" w:eastAsia="Times New Roman" w:hAnsi="Garamond" w:cs="Times New Roman"/>
                <w:sz w:val="24"/>
                <w:szCs w:val="24"/>
              </w:rPr>
            </w:pPr>
          </w:p>
          <w:p w14:paraId="4969D297" w14:textId="4AAA009F" w:rsidR="00AD07C6" w:rsidRPr="00384029" w:rsidRDefault="00AD07C6" w:rsidP="00AD07C6">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Exigences linguistiques :</w:t>
            </w:r>
          </w:p>
        </w:tc>
        <w:tc>
          <w:tcPr>
            <w:tcW w:w="3751" w:type="pct"/>
            <w:gridSpan w:val="4"/>
            <w:shd w:val="clear" w:color="auto" w:fill="FFFFFF" w:themeFill="background1"/>
          </w:tcPr>
          <w:p w14:paraId="3AD2E17A" w14:textId="77777777" w:rsidR="00AD07C6" w:rsidRPr="00384029" w:rsidRDefault="00AD07C6" w:rsidP="00AD07C6">
            <w:pPr>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Maîtrise du français (écrit et parlé), et capacité à résumer et à présenter efficacement des propositions et orientations de réformes.</w:t>
            </w:r>
          </w:p>
          <w:p w14:paraId="48F76F9B" w14:textId="4720CB61" w:rsidR="00AD07C6" w:rsidRPr="00384029" w:rsidRDefault="00AD07C6" w:rsidP="00AD07C6">
            <w:p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sz w:val="24"/>
                <w:szCs w:val="24"/>
              </w:rPr>
              <w:t>Connaissance de l’anglais désirable.</w:t>
            </w:r>
          </w:p>
        </w:tc>
      </w:tr>
      <w:tr w:rsidR="007362B9" w:rsidRPr="00384029" w14:paraId="3DF96B00" w14:textId="77777777" w:rsidTr="00044E5A">
        <w:trPr>
          <w:trHeight w:val="370"/>
        </w:trPr>
        <w:tc>
          <w:tcPr>
            <w:tcW w:w="5000" w:type="pct"/>
            <w:gridSpan w:val="5"/>
            <w:shd w:val="clear" w:color="auto" w:fill="2907A5"/>
            <w:vAlign w:val="center"/>
          </w:tcPr>
          <w:p w14:paraId="4A732258" w14:textId="132944C2" w:rsidR="007362B9" w:rsidRPr="00384029" w:rsidRDefault="007362B9" w:rsidP="007362B9">
            <w:pPr>
              <w:pStyle w:val="Paragraphedeliste"/>
              <w:numPr>
                <w:ilvl w:val="0"/>
                <w:numId w:val="2"/>
              </w:numPr>
              <w:autoSpaceDE w:val="0"/>
              <w:autoSpaceDN w:val="0"/>
              <w:spacing w:after="0" w:line="276" w:lineRule="auto"/>
              <w:jc w:val="both"/>
              <w:rPr>
                <w:rFonts w:ascii="Garamond" w:eastAsia="Times New Roman" w:hAnsi="Garamond" w:cs="Times New Roman"/>
                <w:sz w:val="24"/>
                <w:szCs w:val="24"/>
              </w:rPr>
            </w:pPr>
            <w:r w:rsidRPr="00384029">
              <w:rPr>
                <w:rFonts w:ascii="Garamond" w:eastAsia="Times New Roman" w:hAnsi="Garamond" w:cs="Times New Roman"/>
                <w:b/>
                <w:bCs/>
                <w:sz w:val="24"/>
                <w:szCs w:val="24"/>
              </w:rPr>
              <w:t>Critères d'évaluation</w:t>
            </w:r>
          </w:p>
        </w:tc>
      </w:tr>
      <w:tr w:rsidR="006738E7" w:rsidRPr="00384029" w14:paraId="086E3EBD" w14:textId="77777777" w:rsidTr="006738E7">
        <w:trPr>
          <w:trHeight w:val="370"/>
        </w:trPr>
        <w:tc>
          <w:tcPr>
            <w:tcW w:w="5000" w:type="pct"/>
            <w:gridSpan w:val="5"/>
            <w:shd w:val="clear" w:color="auto" w:fill="FFFFFF" w:themeFill="background1"/>
            <w:vAlign w:val="center"/>
          </w:tcPr>
          <w:p w14:paraId="0AA1AECB" w14:textId="77777777" w:rsidR="006738E7" w:rsidRPr="00384029" w:rsidRDefault="006738E7" w:rsidP="006738E7">
            <w:pPr>
              <w:spacing w:before="120" w:after="120" w:line="276" w:lineRule="auto"/>
              <w:jc w:val="both"/>
              <w:rPr>
                <w:rFonts w:ascii="Garamond" w:eastAsia="Times New Roman" w:hAnsi="Garamond" w:cs="Times New Roman"/>
                <w:bCs/>
                <w:sz w:val="24"/>
                <w:szCs w:val="24"/>
              </w:rPr>
            </w:pPr>
            <w:r w:rsidRPr="00384029">
              <w:rPr>
                <w:rFonts w:ascii="Garamond" w:eastAsia="Times New Roman" w:hAnsi="Garamond" w:cs="Times New Roman"/>
                <w:bCs/>
                <w:sz w:val="24"/>
                <w:szCs w:val="24"/>
              </w:rPr>
              <w:t>L'évaluation des offres se déroule en deux étapes. L'évaluation des propositions techniques est terminée avant l'ouverture et la comparaison des propositions financières.</w:t>
            </w:r>
          </w:p>
          <w:p w14:paraId="2E944029" w14:textId="77BB5D9C" w:rsidR="006738E7" w:rsidRPr="00384029" w:rsidRDefault="006738E7" w:rsidP="006738E7">
            <w:pPr>
              <w:autoSpaceDE w:val="0"/>
              <w:autoSpaceDN w:val="0"/>
              <w:spacing w:after="0" w:line="276" w:lineRule="auto"/>
              <w:jc w:val="both"/>
              <w:rPr>
                <w:rFonts w:ascii="Garamond" w:eastAsia="Times New Roman" w:hAnsi="Garamond" w:cs="Times New Roman"/>
                <w:b/>
                <w:bCs/>
                <w:sz w:val="24"/>
                <w:szCs w:val="24"/>
              </w:rPr>
            </w:pPr>
            <w:r w:rsidRPr="00384029">
              <w:rPr>
                <w:rFonts w:ascii="Garamond" w:eastAsia="Times New Roman" w:hAnsi="Garamond" w:cs="Times New Roman"/>
                <w:sz w:val="24"/>
                <w:szCs w:val="24"/>
              </w:rPr>
              <w:t>La proposition technique sera évaluée en fonction de sa conformité aux termes de référence et sur la base des critères suivants :</w:t>
            </w:r>
          </w:p>
        </w:tc>
      </w:tr>
      <w:tr w:rsidR="00DD76D0" w:rsidRPr="00384029" w14:paraId="0F6227DF" w14:textId="77777777" w:rsidTr="00C24235">
        <w:trPr>
          <w:trHeight w:val="370"/>
        </w:trPr>
        <w:tc>
          <w:tcPr>
            <w:tcW w:w="4143" w:type="pct"/>
            <w:gridSpan w:val="4"/>
            <w:shd w:val="clear" w:color="auto" w:fill="D9D9D9" w:themeFill="background1" w:themeFillShade="D9"/>
            <w:vAlign w:val="center"/>
          </w:tcPr>
          <w:p w14:paraId="7AF72D0E" w14:textId="77777777" w:rsidR="00DD76D0" w:rsidRPr="00384029" w:rsidRDefault="00DD76D0" w:rsidP="006738E7">
            <w:pPr>
              <w:spacing w:before="120" w:after="120" w:line="276" w:lineRule="auto"/>
              <w:jc w:val="both"/>
              <w:rPr>
                <w:rFonts w:ascii="Garamond" w:eastAsia="Times New Roman" w:hAnsi="Garamond" w:cs="Times New Roman"/>
                <w:bCs/>
                <w:sz w:val="24"/>
                <w:szCs w:val="24"/>
              </w:rPr>
            </w:pPr>
            <w:r w:rsidRPr="00384029">
              <w:rPr>
                <w:rFonts w:ascii="Garamond" w:eastAsia="Times New Roman" w:hAnsi="Garamond" w:cs="Times New Roman"/>
                <w:b/>
              </w:rPr>
              <w:t>Critères d'évaluation</w:t>
            </w:r>
          </w:p>
        </w:tc>
        <w:tc>
          <w:tcPr>
            <w:tcW w:w="857" w:type="pct"/>
            <w:shd w:val="clear" w:color="auto" w:fill="D9D9D9" w:themeFill="background1" w:themeFillShade="D9"/>
            <w:vAlign w:val="center"/>
          </w:tcPr>
          <w:p w14:paraId="0F42C3E7" w14:textId="5D6F4DDF" w:rsidR="00DD76D0" w:rsidRPr="00384029" w:rsidRDefault="00DD76D0" w:rsidP="006738E7">
            <w:pPr>
              <w:spacing w:before="120" w:after="120" w:line="276" w:lineRule="auto"/>
              <w:jc w:val="both"/>
              <w:rPr>
                <w:rFonts w:ascii="Garamond" w:eastAsia="Times New Roman" w:hAnsi="Garamond" w:cs="Times New Roman"/>
                <w:bCs/>
                <w:sz w:val="24"/>
                <w:szCs w:val="24"/>
              </w:rPr>
            </w:pPr>
            <w:r w:rsidRPr="00384029">
              <w:rPr>
                <w:rFonts w:ascii="Garamond" w:eastAsia="Times New Roman" w:hAnsi="Garamond" w:cs="Times New Roman"/>
                <w:b/>
                <w:color w:val="000000"/>
                <w:lang w:val="en-US"/>
              </w:rPr>
              <w:t>Max 100</w:t>
            </w:r>
          </w:p>
        </w:tc>
      </w:tr>
      <w:tr w:rsidR="00AD07C6" w:rsidRPr="00384029" w14:paraId="177C8CBB" w14:textId="77777777" w:rsidTr="00DD76D0">
        <w:trPr>
          <w:trHeight w:val="370"/>
        </w:trPr>
        <w:tc>
          <w:tcPr>
            <w:tcW w:w="4143" w:type="pct"/>
            <w:gridSpan w:val="4"/>
            <w:shd w:val="clear" w:color="auto" w:fill="FFFFFF" w:themeFill="background1"/>
            <w:vAlign w:val="center"/>
          </w:tcPr>
          <w:p w14:paraId="5D926152" w14:textId="4512FE03" w:rsidR="00AD07C6" w:rsidRPr="00384029" w:rsidRDefault="00F942D1" w:rsidP="00AD07C6">
            <w:pPr>
              <w:spacing w:before="120" w:after="120" w:line="276" w:lineRule="auto"/>
              <w:jc w:val="both"/>
              <w:rPr>
                <w:rFonts w:ascii="Garamond" w:eastAsia="Times New Roman" w:hAnsi="Garamond" w:cs="Times New Roman"/>
                <w:b/>
              </w:rPr>
            </w:pPr>
            <w:r w:rsidRPr="00384029">
              <w:rPr>
                <w:rFonts w:ascii="Garamond" w:eastAsia="Times New Roman" w:hAnsi="Garamond" w:cs="Times New Roman"/>
                <w:bCs/>
              </w:rPr>
              <w:t>Ingénieur en Informatique, NTIC ou équivalent (Bac+5)</w:t>
            </w:r>
          </w:p>
        </w:tc>
        <w:tc>
          <w:tcPr>
            <w:tcW w:w="857" w:type="pct"/>
            <w:shd w:val="clear" w:color="auto" w:fill="FFFFFF" w:themeFill="background1"/>
            <w:vAlign w:val="center"/>
          </w:tcPr>
          <w:p w14:paraId="53AC63C6" w14:textId="77D912CF" w:rsidR="00AD07C6" w:rsidRPr="00384029" w:rsidRDefault="00AD07C6" w:rsidP="00AD07C6">
            <w:pPr>
              <w:spacing w:before="120" w:after="120" w:line="276" w:lineRule="auto"/>
              <w:jc w:val="both"/>
              <w:rPr>
                <w:rFonts w:ascii="Garamond" w:eastAsia="Times New Roman" w:hAnsi="Garamond" w:cs="Times New Roman"/>
                <w:b/>
                <w:color w:val="000000"/>
                <w:lang w:val="en-US"/>
              </w:rPr>
            </w:pPr>
            <w:r w:rsidRPr="00384029">
              <w:rPr>
                <w:rFonts w:ascii="Garamond" w:eastAsia="Times New Roman" w:hAnsi="Garamond" w:cs="Times New Roman"/>
                <w:lang w:val="en-US"/>
              </w:rPr>
              <w:t>10</w:t>
            </w:r>
          </w:p>
        </w:tc>
      </w:tr>
      <w:tr w:rsidR="00AD07C6" w:rsidRPr="00384029" w14:paraId="1A06C8F1" w14:textId="77777777" w:rsidTr="00DD76D0">
        <w:trPr>
          <w:trHeight w:val="370"/>
        </w:trPr>
        <w:tc>
          <w:tcPr>
            <w:tcW w:w="4143" w:type="pct"/>
            <w:gridSpan w:val="4"/>
            <w:shd w:val="clear" w:color="auto" w:fill="FFFFFF" w:themeFill="background1"/>
            <w:vAlign w:val="center"/>
          </w:tcPr>
          <w:p w14:paraId="132D37C0" w14:textId="31F1BA67" w:rsidR="00AD07C6" w:rsidRPr="00384029" w:rsidRDefault="00AD07C6" w:rsidP="00AD07C6">
            <w:pPr>
              <w:spacing w:before="120" w:after="120" w:line="276" w:lineRule="auto"/>
              <w:jc w:val="both"/>
              <w:rPr>
                <w:rFonts w:ascii="Garamond" w:eastAsia="Times New Roman" w:hAnsi="Garamond" w:cs="Times New Roman"/>
                <w:b/>
              </w:rPr>
            </w:pPr>
            <w:r w:rsidRPr="00384029">
              <w:rPr>
                <w:rFonts w:ascii="Garamond" w:eastAsia="Times New Roman" w:hAnsi="Garamond" w:cs="Times New Roman"/>
                <w:sz w:val="24"/>
                <w:szCs w:val="24"/>
              </w:rPr>
              <w:t xml:space="preserve">Expérience professionnelle au minimum de </w:t>
            </w:r>
            <w:r w:rsidR="00F942D1" w:rsidRPr="00384029">
              <w:rPr>
                <w:rFonts w:ascii="Garamond" w:eastAsia="Times New Roman" w:hAnsi="Garamond" w:cs="Times New Roman"/>
                <w:sz w:val="24"/>
                <w:szCs w:val="24"/>
              </w:rPr>
              <w:t>5</w:t>
            </w:r>
            <w:r w:rsidRPr="00384029">
              <w:rPr>
                <w:rFonts w:ascii="Garamond" w:eastAsia="Times New Roman" w:hAnsi="Garamond" w:cs="Times New Roman"/>
                <w:sz w:val="24"/>
                <w:szCs w:val="24"/>
              </w:rPr>
              <w:t xml:space="preserve"> ans dans </w:t>
            </w:r>
            <w:proofErr w:type="spellStart"/>
            <w:r w:rsidR="00F942D1" w:rsidRPr="00384029">
              <w:rPr>
                <w:rFonts w:ascii="Garamond" w:eastAsia="Times New Roman" w:hAnsi="Garamond" w:cs="Times New Roman"/>
                <w:sz w:val="24"/>
                <w:szCs w:val="24"/>
              </w:rPr>
              <w:t>dans</w:t>
            </w:r>
            <w:proofErr w:type="spellEnd"/>
            <w:r w:rsidR="00F942D1" w:rsidRPr="00384029">
              <w:rPr>
                <w:rFonts w:ascii="Garamond" w:eastAsia="Times New Roman" w:hAnsi="Garamond" w:cs="Times New Roman"/>
                <w:sz w:val="24"/>
                <w:szCs w:val="24"/>
              </w:rPr>
              <w:t xml:space="preserve"> la mise en œuvre de système d’information ainsi que dans la gestion des projets gouvernementaux en Guinée. </w:t>
            </w:r>
          </w:p>
        </w:tc>
        <w:tc>
          <w:tcPr>
            <w:tcW w:w="857" w:type="pct"/>
            <w:shd w:val="clear" w:color="auto" w:fill="FFFFFF" w:themeFill="background1"/>
            <w:vAlign w:val="center"/>
          </w:tcPr>
          <w:p w14:paraId="48C072F4" w14:textId="4B18A508" w:rsidR="00AD07C6" w:rsidRPr="00384029" w:rsidRDefault="00AD07C6" w:rsidP="00AD07C6">
            <w:pPr>
              <w:spacing w:before="120" w:after="120" w:line="276" w:lineRule="auto"/>
              <w:jc w:val="both"/>
              <w:rPr>
                <w:rFonts w:ascii="Garamond" w:eastAsia="Times New Roman" w:hAnsi="Garamond" w:cs="Times New Roman"/>
                <w:b/>
                <w:color w:val="000000"/>
                <w:lang w:val="en-US"/>
              </w:rPr>
            </w:pPr>
            <w:r w:rsidRPr="00384029">
              <w:rPr>
                <w:rFonts w:ascii="Garamond" w:eastAsia="Times New Roman" w:hAnsi="Garamond" w:cs="Times New Roman"/>
                <w:lang w:val="en-US"/>
              </w:rPr>
              <w:t>30</w:t>
            </w:r>
          </w:p>
        </w:tc>
      </w:tr>
      <w:tr w:rsidR="00AD07C6" w:rsidRPr="00384029" w14:paraId="457E34DB" w14:textId="77777777" w:rsidTr="00DD76D0">
        <w:trPr>
          <w:trHeight w:val="370"/>
        </w:trPr>
        <w:tc>
          <w:tcPr>
            <w:tcW w:w="4143" w:type="pct"/>
            <w:gridSpan w:val="4"/>
            <w:shd w:val="clear" w:color="auto" w:fill="FFFFFF" w:themeFill="background1"/>
            <w:vAlign w:val="center"/>
          </w:tcPr>
          <w:p w14:paraId="68FAB8CD" w14:textId="0B800012" w:rsidR="00AD07C6" w:rsidRPr="00384029" w:rsidRDefault="00AD07C6" w:rsidP="00AD07C6">
            <w:pPr>
              <w:spacing w:before="120" w:after="120" w:line="276" w:lineRule="auto"/>
              <w:jc w:val="both"/>
              <w:rPr>
                <w:rFonts w:ascii="Garamond" w:eastAsia="Times New Roman" w:hAnsi="Garamond" w:cs="Times New Roman"/>
                <w:b/>
              </w:rPr>
            </w:pPr>
            <w:r w:rsidRPr="00384029">
              <w:rPr>
                <w:rFonts w:ascii="Garamond" w:eastAsia="Times New Roman" w:hAnsi="Garamond" w:cs="Times New Roman"/>
              </w:rPr>
              <w:t xml:space="preserve">Bonne compréhension du contexte national, </w:t>
            </w:r>
            <w:r w:rsidRPr="00384029">
              <w:rPr>
                <w:rFonts w:ascii="Garamond" w:eastAsia="Calibri" w:hAnsi="Garamond" w:cs="Times New Roman"/>
                <w:sz w:val="24"/>
              </w:rPr>
              <w:t>connaissance et expérience de travail en Guinée.</w:t>
            </w:r>
          </w:p>
        </w:tc>
        <w:tc>
          <w:tcPr>
            <w:tcW w:w="857" w:type="pct"/>
            <w:shd w:val="clear" w:color="auto" w:fill="FFFFFF" w:themeFill="background1"/>
            <w:vAlign w:val="center"/>
          </w:tcPr>
          <w:p w14:paraId="75908D00" w14:textId="488F760D" w:rsidR="00AD07C6" w:rsidRPr="00384029" w:rsidRDefault="00AD07C6" w:rsidP="00AD07C6">
            <w:pPr>
              <w:spacing w:before="120" w:after="120" w:line="276" w:lineRule="auto"/>
              <w:jc w:val="both"/>
              <w:rPr>
                <w:rFonts w:ascii="Garamond" w:eastAsia="Times New Roman" w:hAnsi="Garamond" w:cs="Times New Roman"/>
                <w:b/>
                <w:color w:val="000000"/>
                <w:lang w:val="en-US"/>
              </w:rPr>
            </w:pPr>
            <w:r w:rsidRPr="00384029">
              <w:rPr>
                <w:rFonts w:ascii="Garamond" w:eastAsia="Times New Roman" w:hAnsi="Garamond" w:cs="Times New Roman"/>
                <w:lang w:val="en-US"/>
              </w:rPr>
              <w:t>40</w:t>
            </w:r>
          </w:p>
        </w:tc>
      </w:tr>
      <w:tr w:rsidR="00AD07C6" w:rsidRPr="00384029" w14:paraId="34899FC0" w14:textId="77777777" w:rsidTr="00DD76D0">
        <w:trPr>
          <w:trHeight w:val="370"/>
        </w:trPr>
        <w:tc>
          <w:tcPr>
            <w:tcW w:w="4143" w:type="pct"/>
            <w:gridSpan w:val="4"/>
            <w:shd w:val="clear" w:color="auto" w:fill="FFFFFF" w:themeFill="background1"/>
            <w:vAlign w:val="center"/>
          </w:tcPr>
          <w:p w14:paraId="1DAB8458" w14:textId="42B09D73" w:rsidR="00AD07C6" w:rsidRPr="00384029" w:rsidRDefault="00AD07C6" w:rsidP="00AD07C6">
            <w:pPr>
              <w:spacing w:before="120" w:after="120" w:line="276" w:lineRule="auto"/>
              <w:jc w:val="both"/>
              <w:rPr>
                <w:rFonts w:ascii="Garamond" w:eastAsia="Times New Roman" w:hAnsi="Garamond" w:cs="Times New Roman"/>
                <w:b/>
              </w:rPr>
            </w:pPr>
            <w:r w:rsidRPr="00384029">
              <w:rPr>
                <w:rFonts w:ascii="Garamond" w:eastAsia="Times New Roman" w:hAnsi="Garamond" w:cs="Times New Roman"/>
              </w:rPr>
              <w:t>Méthodologie et plan de travail</w:t>
            </w:r>
          </w:p>
        </w:tc>
        <w:tc>
          <w:tcPr>
            <w:tcW w:w="857" w:type="pct"/>
            <w:shd w:val="clear" w:color="auto" w:fill="FFFFFF" w:themeFill="background1"/>
            <w:vAlign w:val="center"/>
          </w:tcPr>
          <w:p w14:paraId="5800DF76" w14:textId="0C951E9F" w:rsidR="00AD07C6" w:rsidRPr="00384029" w:rsidRDefault="00AD07C6" w:rsidP="00AD07C6">
            <w:pPr>
              <w:spacing w:before="120" w:after="120" w:line="276" w:lineRule="auto"/>
              <w:jc w:val="both"/>
              <w:rPr>
                <w:rFonts w:ascii="Garamond" w:eastAsia="Times New Roman" w:hAnsi="Garamond" w:cs="Times New Roman"/>
                <w:b/>
                <w:color w:val="000000"/>
                <w:lang w:val="en-US"/>
              </w:rPr>
            </w:pPr>
            <w:r w:rsidRPr="00384029">
              <w:rPr>
                <w:rFonts w:ascii="Garamond" w:eastAsia="Times New Roman" w:hAnsi="Garamond" w:cs="Times New Roman"/>
              </w:rPr>
              <w:t>20</w:t>
            </w:r>
          </w:p>
        </w:tc>
      </w:tr>
      <w:tr w:rsidR="00C24235" w:rsidRPr="00384029" w14:paraId="406EBD51" w14:textId="77777777" w:rsidTr="00DD76D0">
        <w:trPr>
          <w:trHeight w:val="370"/>
        </w:trPr>
        <w:tc>
          <w:tcPr>
            <w:tcW w:w="4143" w:type="pct"/>
            <w:gridSpan w:val="4"/>
            <w:shd w:val="clear" w:color="auto" w:fill="FFFFFF" w:themeFill="background1"/>
            <w:vAlign w:val="center"/>
          </w:tcPr>
          <w:p w14:paraId="3CBC5D23" w14:textId="02AFD642" w:rsidR="00C24235" w:rsidRPr="00384029" w:rsidRDefault="00C24235" w:rsidP="006738E7">
            <w:pPr>
              <w:spacing w:before="120" w:after="120" w:line="276" w:lineRule="auto"/>
              <w:jc w:val="both"/>
              <w:rPr>
                <w:rFonts w:ascii="Garamond" w:eastAsia="Times New Roman" w:hAnsi="Garamond" w:cs="Times New Roman"/>
                <w:b/>
              </w:rPr>
            </w:pPr>
            <w:r w:rsidRPr="00384029">
              <w:rPr>
                <w:rFonts w:ascii="Garamond" w:eastAsia="Times New Roman" w:hAnsi="Garamond" w:cs="Times New Roman"/>
                <w:b/>
              </w:rPr>
              <w:t>Total</w:t>
            </w:r>
          </w:p>
        </w:tc>
        <w:tc>
          <w:tcPr>
            <w:tcW w:w="857" w:type="pct"/>
            <w:shd w:val="clear" w:color="auto" w:fill="FFFFFF" w:themeFill="background1"/>
            <w:vAlign w:val="center"/>
          </w:tcPr>
          <w:p w14:paraId="214DCAED" w14:textId="7664FBEA" w:rsidR="00C24235" w:rsidRPr="00384029" w:rsidRDefault="00C24235" w:rsidP="006738E7">
            <w:pPr>
              <w:spacing w:before="120" w:after="120" w:line="276" w:lineRule="auto"/>
              <w:jc w:val="both"/>
              <w:rPr>
                <w:rFonts w:ascii="Garamond" w:eastAsia="Times New Roman" w:hAnsi="Garamond" w:cs="Times New Roman"/>
                <w:b/>
                <w:color w:val="000000"/>
                <w:lang w:val="en-US"/>
              </w:rPr>
            </w:pPr>
            <w:r w:rsidRPr="00384029">
              <w:rPr>
                <w:rFonts w:ascii="Garamond" w:eastAsia="Times New Roman" w:hAnsi="Garamond" w:cs="Times New Roman"/>
                <w:b/>
                <w:color w:val="000000"/>
                <w:lang w:val="en-US"/>
              </w:rPr>
              <w:t>100</w:t>
            </w:r>
          </w:p>
        </w:tc>
      </w:tr>
      <w:tr w:rsidR="007362B9" w:rsidRPr="00384029" w14:paraId="62215660" w14:textId="77777777" w:rsidTr="00044E5A">
        <w:trPr>
          <w:trHeight w:val="370"/>
        </w:trPr>
        <w:tc>
          <w:tcPr>
            <w:tcW w:w="5000" w:type="pct"/>
            <w:gridSpan w:val="5"/>
            <w:shd w:val="clear" w:color="auto" w:fill="FFFFFF" w:themeFill="background1"/>
            <w:vAlign w:val="center"/>
          </w:tcPr>
          <w:p w14:paraId="2BA3F79D" w14:textId="77777777" w:rsidR="007362B9" w:rsidRPr="00384029" w:rsidRDefault="007362B9" w:rsidP="007362B9">
            <w:pPr>
              <w:spacing w:after="0" w:line="276" w:lineRule="auto"/>
              <w:rPr>
                <w:rFonts w:ascii="Garamond" w:eastAsia="Times New Roman" w:hAnsi="Garamond" w:cs="Times New Roman"/>
                <w:sz w:val="24"/>
                <w:szCs w:val="24"/>
              </w:rPr>
            </w:pPr>
            <w:r w:rsidRPr="00384029">
              <w:rPr>
                <w:rFonts w:ascii="Garamond" w:eastAsia="Times New Roman" w:hAnsi="Garamond" w:cs="Times New Roman"/>
                <w:sz w:val="24"/>
                <w:szCs w:val="24"/>
              </w:rPr>
              <w:t>Les propositions techniques qui obtiennent 70% de la note maximale de 100 points seront considérées comme qualifiées ; cette note technique sera pondérée à 70%.</w:t>
            </w:r>
          </w:p>
          <w:p w14:paraId="4C5EFD87" w14:textId="77777777" w:rsidR="007362B9" w:rsidRPr="00384029" w:rsidRDefault="007362B9" w:rsidP="007362B9">
            <w:pPr>
              <w:spacing w:after="0" w:line="276" w:lineRule="auto"/>
              <w:rPr>
                <w:rFonts w:ascii="Garamond" w:eastAsia="Times New Roman" w:hAnsi="Garamond" w:cs="Times New Roman"/>
                <w:sz w:val="24"/>
                <w:szCs w:val="24"/>
              </w:rPr>
            </w:pPr>
          </w:p>
          <w:p w14:paraId="7331066C" w14:textId="77777777" w:rsidR="007362B9" w:rsidRPr="00384029" w:rsidRDefault="007362B9" w:rsidP="007362B9">
            <w:pPr>
              <w:spacing w:after="0" w:line="276" w:lineRule="auto"/>
              <w:rPr>
                <w:rFonts w:ascii="Garamond" w:eastAsia="Times New Roman" w:hAnsi="Garamond" w:cs="Times New Roman"/>
                <w:sz w:val="24"/>
                <w:szCs w:val="24"/>
              </w:rPr>
            </w:pPr>
            <w:r w:rsidRPr="00384029">
              <w:rPr>
                <w:rFonts w:ascii="Garamond" w:eastAsia="Times New Roman" w:hAnsi="Garamond" w:cs="Times New Roman"/>
                <w:sz w:val="24"/>
                <w:szCs w:val="24"/>
              </w:rPr>
              <w:lastRenderedPageBreak/>
              <w:t xml:space="preserve">Dans une deuxième étape du processus d'évaluation, les enveloppes financières seront ouvertes et les offres financières seront comparées. </w:t>
            </w:r>
          </w:p>
          <w:p w14:paraId="3AD04A08" w14:textId="77777777" w:rsidR="007362B9" w:rsidRPr="00384029" w:rsidRDefault="007362B9" w:rsidP="007362B9">
            <w:pPr>
              <w:spacing w:after="0" w:line="276" w:lineRule="auto"/>
              <w:rPr>
                <w:rFonts w:ascii="Garamond" w:eastAsia="Times New Roman" w:hAnsi="Garamond" w:cs="Times New Roman"/>
                <w:sz w:val="24"/>
                <w:szCs w:val="24"/>
              </w:rPr>
            </w:pPr>
          </w:p>
          <w:p w14:paraId="63B4E4DA" w14:textId="77777777" w:rsidR="007362B9" w:rsidRPr="00384029" w:rsidRDefault="007362B9" w:rsidP="007362B9">
            <w:pPr>
              <w:spacing w:after="0" w:line="276" w:lineRule="auto"/>
              <w:rPr>
                <w:rFonts w:ascii="Garamond" w:eastAsia="Times New Roman" w:hAnsi="Garamond" w:cs="Times New Roman"/>
                <w:bCs/>
                <w:sz w:val="24"/>
                <w:szCs w:val="24"/>
              </w:rPr>
            </w:pPr>
            <w:r w:rsidRPr="00384029">
              <w:rPr>
                <w:rFonts w:ascii="Garamond" w:eastAsia="Times New Roman" w:hAnsi="Garamond" w:cs="Times New Roman"/>
                <w:bCs/>
                <w:sz w:val="24"/>
                <w:szCs w:val="24"/>
              </w:rPr>
              <w:t>Le contrat sera attribué au consultant ayant obtenu le meilleur score combiné - rapport qualité-prix, évaluation cumulative - (</w:t>
            </w:r>
            <w:r w:rsidRPr="00384029">
              <w:rPr>
                <w:rFonts w:ascii="Garamond" w:eastAsia="Times New Roman" w:hAnsi="Garamond" w:cs="Times New Roman"/>
                <w:sz w:val="24"/>
                <w:szCs w:val="24"/>
              </w:rPr>
              <w:t>technique pondéré à 70% + financier à 30%)</w:t>
            </w:r>
            <w:r w:rsidRPr="00384029">
              <w:rPr>
                <w:rFonts w:ascii="Garamond" w:eastAsia="Times New Roman" w:hAnsi="Garamond" w:cs="Times New Roman"/>
                <w:bCs/>
                <w:sz w:val="24"/>
                <w:szCs w:val="24"/>
              </w:rPr>
              <w:t>. Applicable pour des prestations intellectuelles plus complexes selon les exigences des termes de référence.</w:t>
            </w:r>
          </w:p>
          <w:p w14:paraId="7BF0DB7D" w14:textId="308F951E" w:rsidR="007362B9" w:rsidRPr="00384029" w:rsidRDefault="007362B9" w:rsidP="00297C67">
            <w:pPr>
              <w:spacing w:after="0" w:line="276" w:lineRule="auto"/>
              <w:ind w:left="708"/>
              <w:rPr>
                <w:rFonts w:ascii="Garamond" w:eastAsia="Times New Roman" w:hAnsi="Garamond" w:cs="Times New Roman"/>
                <w:sz w:val="24"/>
                <w:szCs w:val="24"/>
              </w:rPr>
            </w:pPr>
            <w:r w:rsidRPr="00384029">
              <w:rPr>
                <w:rFonts w:ascii="Garamond" w:eastAsia="Times New Roman" w:hAnsi="Garamond" w:cs="Times New Roman"/>
                <w:i/>
                <w:sz w:val="24"/>
                <w:szCs w:val="24"/>
              </w:rPr>
              <w:t>Ce score financier combiné de 30 % est calculé pour chaque proposition selon la formule suivante : Score financier A = [(Offre financière la plus basse)/Offre financière de A] x 30</w:t>
            </w:r>
          </w:p>
        </w:tc>
      </w:tr>
      <w:tr w:rsidR="00B23985" w:rsidRPr="00384029" w14:paraId="35551C91" w14:textId="77777777" w:rsidTr="00B04941">
        <w:trPr>
          <w:trHeight w:val="370"/>
        </w:trPr>
        <w:tc>
          <w:tcPr>
            <w:tcW w:w="5000" w:type="pct"/>
            <w:gridSpan w:val="5"/>
            <w:shd w:val="clear" w:color="auto" w:fill="2907A5"/>
            <w:vAlign w:val="center"/>
          </w:tcPr>
          <w:p w14:paraId="252FC995" w14:textId="048F8E0F" w:rsidR="00B23985" w:rsidRPr="00384029" w:rsidRDefault="00B04941" w:rsidP="00B04941">
            <w:pPr>
              <w:pStyle w:val="Paragraphedeliste"/>
              <w:numPr>
                <w:ilvl w:val="0"/>
                <w:numId w:val="2"/>
              </w:numPr>
              <w:autoSpaceDE w:val="0"/>
              <w:autoSpaceDN w:val="0"/>
              <w:spacing w:after="0" w:line="276" w:lineRule="auto"/>
              <w:jc w:val="both"/>
              <w:rPr>
                <w:rFonts w:ascii="Garamond" w:eastAsia="Times New Roman" w:hAnsi="Garamond" w:cs="Times New Roman"/>
                <w:bCs/>
                <w:sz w:val="24"/>
                <w:szCs w:val="24"/>
              </w:rPr>
            </w:pPr>
            <w:r w:rsidRPr="00384029">
              <w:rPr>
                <w:rFonts w:ascii="Garamond" w:eastAsia="Times New Roman" w:hAnsi="Garamond" w:cs="Times New Roman"/>
                <w:b/>
                <w:bCs/>
                <w:sz w:val="24"/>
                <w:szCs w:val="24"/>
              </w:rPr>
              <w:lastRenderedPageBreak/>
              <w:t>Jalons de paiement</w:t>
            </w:r>
            <w:r w:rsidRPr="00384029">
              <w:rPr>
                <w:rFonts w:ascii="Garamond" w:eastAsia="Times New Roman" w:hAnsi="Garamond" w:cs="Times New Roman"/>
                <w:bCs/>
                <w:sz w:val="24"/>
                <w:szCs w:val="24"/>
              </w:rPr>
              <w:t xml:space="preserve">  </w:t>
            </w:r>
          </w:p>
        </w:tc>
      </w:tr>
      <w:tr w:rsidR="004E1C39" w:rsidRPr="00384029" w14:paraId="71987467" w14:textId="77777777" w:rsidTr="00044E5A">
        <w:trPr>
          <w:trHeight w:val="370"/>
        </w:trPr>
        <w:tc>
          <w:tcPr>
            <w:tcW w:w="5000" w:type="pct"/>
            <w:gridSpan w:val="5"/>
            <w:shd w:val="clear" w:color="auto" w:fill="FFFFFF" w:themeFill="background1"/>
            <w:vAlign w:val="center"/>
          </w:tcPr>
          <w:p w14:paraId="7C700C65" w14:textId="7F446ADA" w:rsidR="004E1C39" w:rsidRPr="00384029" w:rsidRDefault="004E1C39" w:rsidP="004E1C39">
            <w:pPr>
              <w:spacing w:before="120" w:after="120" w:line="276" w:lineRule="auto"/>
              <w:jc w:val="both"/>
              <w:rPr>
                <w:rFonts w:ascii="Garamond" w:eastAsia="Times New Roman" w:hAnsi="Garamond" w:cs="Times New Roman"/>
                <w:bCs/>
                <w:sz w:val="24"/>
                <w:szCs w:val="24"/>
              </w:rPr>
            </w:pPr>
            <w:r w:rsidRPr="00384029">
              <w:rPr>
                <w:rFonts w:ascii="Garamond" w:eastAsia="Times New Roman" w:hAnsi="Garamond" w:cs="Times New Roman"/>
                <w:szCs w:val="24"/>
              </w:rPr>
              <w:t>L’expert sera payé au fur et à mesure qu'il/elle fournira les produits livrables spécifiés dans les présents TDR.</w:t>
            </w:r>
          </w:p>
        </w:tc>
      </w:tr>
      <w:tr w:rsidR="004E1C39" w:rsidRPr="00384029" w14:paraId="24801844" w14:textId="77777777" w:rsidTr="008F2217">
        <w:trPr>
          <w:trHeight w:val="370"/>
        </w:trPr>
        <w:tc>
          <w:tcPr>
            <w:tcW w:w="2813" w:type="pct"/>
            <w:gridSpan w:val="2"/>
            <w:shd w:val="clear" w:color="auto" w:fill="D9D9D9" w:themeFill="background1" w:themeFillShade="D9"/>
            <w:vAlign w:val="center"/>
          </w:tcPr>
          <w:p w14:paraId="6F4CF776" w14:textId="45370903" w:rsidR="004E1C39" w:rsidRPr="00384029" w:rsidRDefault="004E1C39" w:rsidP="004E1C39">
            <w:pPr>
              <w:spacing w:before="120" w:after="120" w:line="276" w:lineRule="auto"/>
              <w:jc w:val="center"/>
              <w:rPr>
                <w:rFonts w:ascii="Garamond" w:eastAsia="Times New Roman" w:hAnsi="Garamond" w:cs="Times New Roman"/>
                <w:bCs/>
                <w:sz w:val="24"/>
                <w:szCs w:val="24"/>
              </w:rPr>
            </w:pPr>
            <w:r w:rsidRPr="00384029">
              <w:rPr>
                <w:rFonts w:ascii="Garamond" w:eastAsia="Times New Roman" w:hAnsi="Garamond" w:cs="Times New Roman"/>
                <w:bCs/>
                <w:sz w:val="24"/>
                <w:szCs w:val="24"/>
              </w:rPr>
              <w:t>Livrables</w:t>
            </w:r>
          </w:p>
        </w:tc>
        <w:tc>
          <w:tcPr>
            <w:tcW w:w="1173" w:type="pct"/>
            <w:shd w:val="clear" w:color="auto" w:fill="D9D9D9" w:themeFill="background1" w:themeFillShade="D9"/>
            <w:vAlign w:val="center"/>
          </w:tcPr>
          <w:p w14:paraId="76BE50AA" w14:textId="17F1B71A" w:rsidR="004E1C39" w:rsidRPr="00384029" w:rsidRDefault="004E1C39" w:rsidP="004E1C39">
            <w:pPr>
              <w:spacing w:before="120" w:after="120" w:line="276" w:lineRule="auto"/>
              <w:jc w:val="center"/>
              <w:rPr>
                <w:rFonts w:ascii="Garamond" w:eastAsia="Times New Roman" w:hAnsi="Garamond" w:cs="Times New Roman"/>
                <w:bCs/>
                <w:sz w:val="24"/>
                <w:szCs w:val="24"/>
              </w:rPr>
            </w:pPr>
            <w:r w:rsidRPr="00384029">
              <w:rPr>
                <w:rFonts w:ascii="Garamond" w:eastAsia="Times New Roman" w:hAnsi="Garamond" w:cs="Times New Roman"/>
                <w:bCs/>
                <w:sz w:val="24"/>
                <w:szCs w:val="24"/>
              </w:rPr>
              <w:t>Echéance de paiement</w:t>
            </w:r>
          </w:p>
        </w:tc>
        <w:tc>
          <w:tcPr>
            <w:tcW w:w="1014" w:type="pct"/>
            <w:gridSpan w:val="2"/>
            <w:shd w:val="clear" w:color="auto" w:fill="D9D9D9" w:themeFill="background1" w:themeFillShade="D9"/>
            <w:vAlign w:val="center"/>
          </w:tcPr>
          <w:p w14:paraId="3BCF8DCF" w14:textId="3414EF18" w:rsidR="004E1C39" w:rsidRPr="00384029" w:rsidRDefault="004E1C39" w:rsidP="004E1C39">
            <w:pPr>
              <w:spacing w:before="120" w:after="120" w:line="276" w:lineRule="auto"/>
              <w:jc w:val="center"/>
              <w:rPr>
                <w:rFonts w:ascii="Garamond" w:eastAsia="Times New Roman" w:hAnsi="Garamond" w:cs="Times New Roman"/>
                <w:bCs/>
                <w:sz w:val="24"/>
                <w:szCs w:val="24"/>
              </w:rPr>
            </w:pPr>
            <w:r w:rsidRPr="00384029">
              <w:rPr>
                <w:rFonts w:ascii="Garamond" w:eastAsia="Times New Roman" w:hAnsi="Garamond" w:cs="Times New Roman"/>
                <w:bCs/>
                <w:sz w:val="24"/>
                <w:szCs w:val="24"/>
              </w:rPr>
              <w:t>%</w:t>
            </w:r>
          </w:p>
        </w:tc>
      </w:tr>
      <w:tr w:rsidR="004E1C39" w:rsidRPr="00384029" w14:paraId="2CF9A74B" w14:textId="77777777" w:rsidTr="008113DF">
        <w:trPr>
          <w:trHeight w:val="365"/>
        </w:trPr>
        <w:tc>
          <w:tcPr>
            <w:tcW w:w="2813" w:type="pct"/>
            <w:gridSpan w:val="2"/>
            <w:shd w:val="clear" w:color="auto" w:fill="FFFFFF" w:themeFill="background1"/>
            <w:vAlign w:val="center"/>
          </w:tcPr>
          <w:p w14:paraId="45C0695B" w14:textId="535A7BED" w:rsidR="004E1C39" w:rsidRPr="00384029" w:rsidRDefault="004E1C39" w:rsidP="004E1C39">
            <w:pPr>
              <w:spacing w:before="120" w:after="120" w:line="276" w:lineRule="auto"/>
              <w:jc w:val="both"/>
              <w:rPr>
                <w:rFonts w:ascii="Garamond" w:eastAsia="Times New Roman" w:hAnsi="Garamond" w:cs="Times New Roman"/>
                <w:bCs/>
                <w:sz w:val="24"/>
                <w:szCs w:val="24"/>
                <w:highlight w:val="yellow"/>
              </w:rPr>
            </w:pPr>
            <w:r w:rsidRPr="00384029">
              <w:rPr>
                <w:rFonts w:ascii="Garamond" w:eastAsia="Times New Roman" w:hAnsi="Garamond" w:cs="Times New Roman"/>
                <w:b/>
                <w:bCs/>
                <w:color w:val="000000"/>
                <w:sz w:val="24"/>
                <w:szCs w:val="24"/>
                <w:vertAlign w:val="superscript"/>
                <w:lang w:eastAsia="fr-FR"/>
              </w:rPr>
              <w:t xml:space="preserve">1ère </w:t>
            </w:r>
            <w:r w:rsidRPr="00384029">
              <w:rPr>
                <w:rFonts w:ascii="Garamond" w:eastAsia="Times New Roman" w:hAnsi="Garamond" w:cs="Times New Roman"/>
                <w:b/>
                <w:bCs/>
                <w:color w:val="000000"/>
                <w:sz w:val="24"/>
                <w:szCs w:val="24"/>
                <w:lang w:eastAsia="fr-FR"/>
              </w:rPr>
              <w:t xml:space="preserve">tranche : </w:t>
            </w:r>
            <w:r w:rsidR="00A12F6B" w:rsidRPr="00384029">
              <w:rPr>
                <w:rFonts w:ascii="Garamond" w:hAnsi="Garamond" w:cs="Times New Roman"/>
                <w:sz w:val="24"/>
                <w:szCs w:val="24"/>
              </w:rPr>
              <w:t xml:space="preserve">Une note technique  </w:t>
            </w:r>
          </w:p>
        </w:tc>
        <w:tc>
          <w:tcPr>
            <w:tcW w:w="1173" w:type="pct"/>
            <w:shd w:val="clear" w:color="auto" w:fill="FFFFFF" w:themeFill="background1"/>
          </w:tcPr>
          <w:p w14:paraId="01969F0E" w14:textId="40292A0C" w:rsidR="004E1C39" w:rsidRPr="00384029" w:rsidRDefault="004E1C39"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hAnsi="Garamond"/>
                <w:sz w:val="24"/>
                <w:szCs w:val="24"/>
              </w:rPr>
              <w:t>Au 5</w:t>
            </w:r>
            <w:r w:rsidRPr="00384029">
              <w:rPr>
                <w:rFonts w:ascii="Garamond" w:hAnsi="Garamond"/>
                <w:sz w:val="24"/>
                <w:szCs w:val="24"/>
                <w:vertAlign w:val="superscript"/>
              </w:rPr>
              <w:t>ème</w:t>
            </w:r>
            <w:r w:rsidRPr="00384029">
              <w:rPr>
                <w:rFonts w:ascii="Garamond" w:hAnsi="Garamond"/>
                <w:sz w:val="24"/>
                <w:szCs w:val="24"/>
              </w:rPr>
              <w:t xml:space="preserve"> jour de la signature</w:t>
            </w:r>
          </w:p>
        </w:tc>
        <w:tc>
          <w:tcPr>
            <w:tcW w:w="1014" w:type="pct"/>
            <w:gridSpan w:val="2"/>
            <w:shd w:val="clear" w:color="auto" w:fill="FFFFFF" w:themeFill="background1"/>
          </w:tcPr>
          <w:p w14:paraId="3D136AEC" w14:textId="3BEF13C4" w:rsidR="004E1C39" w:rsidRPr="00384029" w:rsidRDefault="00A12F6B"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hAnsi="Garamond"/>
                <w:sz w:val="24"/>
                <w:szCs w:val="24"/>
              </w:rPr>
              <w:t>15</w:t>
            </w:r>
            <w:r w:rsidR="004E1C39" w:rsidRPr="00384029">
              <w:rPr>
                <w:rFonts w:ascii="Garamond" w:hAnsi="Garamond"/>
                <w:sz w:val="24"/>
                <w:szCs w:val="24"/>
              </w:rPr>
              <w:t>%</w:t>
            </w:r>
          </w:p>
        </w:tc>
      </w:tr>
      <w:tr w:rsidR="004E1C39" w:rsidRPr="00384029" w14:paraId="3E549E7D" w14:textId="77777777" w:rsidTr="008113DF">
        <w:trPr>
          <w:trHeight w:val="363"/>
        </w:trPr>
        <w:tc>
          <w:tcPr>
            <w:tcW w:w="2813" w:type="pct"/>
            <w:gridSpan w:val="2"/>
            <w:shd w:val="clear" w:color="auto" w:fill="FFFFFF" w:themeFill="background1"/>
            <w:vAlign w:val="center"/>
          </w:tcPr>
          <w:p w14:paraId="1B2EE4DA" w14:textId="6BF5706E" w:rsidR="004E1C39" w:rsidRPr="00384029" w:rsidRDefault="004E1C39" w:rsidP="004E1C39">
            <w:pPr>
              <w:spacing w:before="120" w:after="120" w:line="276" w:lineRule="auto"/>
              <w:jc w:val="both"/>
              <w:rPr>
                <w:rFonts w:ascii="Garamond" w:eastAsia="Times New Roman" w:hAnsi="Garamond" w:cs="Times New Roman"/>
                <w:bCs/>
                <w:sz w:val="24"/>
                <w:szCs w:val="24"/>
                <w:highlight w:val="yellow"/>
              </w:rPr>
            </w:pPr>
            <w:r w:rsidRPr="00384029">
              <w:rPr>
                <w:rFonts w:ascii="Garamond" w:eastAsia="Times New Roman" w:hAnsi="Garamond" w:cs="Times New Roman"/>
                <w:b/>
                <w:bCs/>
                <w:color w:val="000000"/>
                <w:sz w:val="24"/>
                <w:szCs w:val="24"/>
                <w:vertAlign w:val="superscript"/>
                <w:lang w:eastAsia="fr-FR"/>
              </w:rPr>
              <w:t xml:space="preserve">2ème </w:t>
            </w:r>
            <w:r w:rsidRPr="00384029">
              <w:rPr>
                <w:rFonts w:ascii="Garamond" w:eastAsia="Times New Roman" w:hAnsi="Garamond" w:cs="Times New Roman"/>
                <w:b/>
                <w:bCs/>
                <w:color w:val="000000"/>
                <w:sz w:val="24"/>
                <w:szCs w:val="24"/>
                <w:lang w:eastAsia="fr-FR"/>
              </w:rPr>
              <w:t xml:space="preserve">tranche : </w:t>
            </w:r>
            <w:r w:rsidR="00A12F6B" w:rsidRPr="00384029">
              <w:rPr>
                <w:rFonts w:ascii="Garamond" w:hAnsi="Garamond" w:cs="Times New Roman"/>
                <w:sz w:val="24"/>
                <w:szCs w:val="24"/>
              </w:rPr>
              <w:t>•</w:t>
            </w:r>
            <w:r w:rsidR="00A12F6B" w:rsidRPr="00384029">
              <w:rPr>
                <w:rFonts w:ascii="Garamond" w:hAnsi="Garamond" w:cs="Times New Roman"/>
                <w:sz w:val="24"/>
                <w:szCs w:val="24"/>
              </w:rPr>
              <w:tab/>
              <w:t>Rapport intermédiaire</w:t>
            </w:r>
          </w:p>
        </w:tc>
        <w:tc>
          <w:tcPr>
            <w:tcW w:w="1173" w:type="pct"/>
            <w:shd w:val="clear" w:color="auto" w:fill="FFFFFF" w:themeFill="background1"/>
          </w:tcPr>
          <w:p w14:paraId="710E5270" w14:textId="57ADF198" w:rsidR="004E1C39" w:rsidRPr="00384029" w:rsidRDefault="004E1C39"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hAnsi="Garamond"/>
                <w:sz w:val="24"/>
                <w:szCs w:val="24"/>
              </w:rPr>
              <w:t xml:space="preserve">Au </w:t>
            </w:r>
            <w:r w:rsidR="00A12F6B" w:rsidRPr="00384029">
              <w:rPr>
                <w:rFonts w:ascii="Garamond" w:hAnsi="Garamond"/>
                <w:sz w:val="24"/>
                <w:szCs w:val="24"/>
              </w:rPr>
              <w:t>6</w:t>
            </w:r>
            <w:r w:rsidRPr="00384029">
              <w:rPr>
                <w:rFonts w:ascii="Garamond" w:hAnsi="Garamond"/>
                <w:sz w:val="24"/>
                <w:szCs w:val="24"/>
              </w:rPr>
              <w:t>0</w:t>
            </w:r>
            <w:r w:rsidRPr="00384029">
              <w:rPr>
                <w:rFonts w:ascii="Garamond" w:hAnsi="Garamond"/>
                <w:sz w:val="24"/>
                <w:szCs w:val="24"/>
                <w:vertAlign w:val="superscript"/>
              </w:rPr>
              <w:t>ème</w:t>
            </w:r>
            <w:r w:rsidRPr="00384029">
              <w:rPr>
                <w:rFonts w:ascii="Garamond" w:hAnsi="Garamond"/>
                <w:sz w:val="24"/>
                <w:szCs w:val="24"/>
              </w:rPr>
              <w:t xml:space="preserve"> jour de travail</w:t>
            </w:r>
          </w:p>
        </w:tc>
        <w:tc>
          <w:tcPr>
            <w:tcW w:w="1014" w:type="pct"/>
            <w:gridSpan w:val="2"/>
            <w:shd w:val="clear" w:color="auto" w:fill="FFFFFF" w:themeFill="background1"/>
          </w:tcPr>
          <w:p w14:paraId="633D362F" w14:textId="780B9506" w:rsidR="004E1C39" w:rsidRPr="00384029" w:rsidRDefault="00A12F6B"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hAnsi="Garamond"/>
                <w:sz w:val="24"/>
                <w:szCs w:val="24"/>
              </w:rPr>
              <w:t>3</w:t>
            </w:r>
            <w:r w:rsidR="004E1C39" w:rsidRPr="00384029">
              <w:rPr>
                <w:rFonts w:ascii="Garamond" w:hAnsi="Garamond"/>
                <w:sz w:val="24"/>
                <w:szCs w:val="24"/>
              </w:rPr>
              <w:t>5%</w:t>
            </w:r>
          </w:p>
        </w:tc>
      </w:tr>
      <w:tr w:rsidR="004E1C39" w:rsidRPr="00384029" w14:paraId="4D74ED87" w14:textId="77777777" w:rsidTr="008113DF">
        <w:trPr>
          <w:trHeight w:val="363"/>
        </w:trPr>
        <w:tc>
          <w:tcPr>
            <w:tcW w:w="2813" w:type="pct"/>
            <w:gridSpan w:val="2"/>
            <w:shd w:val="clear" w:color="auto" w:fill="FFFFFF" w:themeFill="background1"/>
            <w:vAlign w:val="center"/>
          </w:tcPr>
          <w:p w14:paraId="061B9374" w14:textId="5B8D7D11" w:rsidR="004E1C39" w:rsidRPr="00384029" w:rsidRDefault="00A12F6B" w:rsidP="004E1C39">
            <w:pPr>
              <w:spacing w:before="120" w:after="120" w:line="276" w:lineRule="auto"/>
              <w:jc w:val="both"/>
              <w:rPr>
                <w:rFonts w:ascii="Garamond" w:eastAsia="Times New Roman" w:hAnsi="Garamond" w:cs="Times New Roman"/>
                <w:bCs/>
                <w:sz w:val="24"/>
                <w:szCs w:val="24"/>
                <w:highlight w:val="yellow"/>
              </w:rPr>
            </w:pPr>
            <w:r w:rsidRPr="00384029">
              <w:rPr>
                <w:rFonts w:ascii="Garamond" w:eastAsia="Times New Roman" w:hAnsi="Garamond" w:cs="Times New Roman"/>
                <w:b/>
                <w:bCs/>
                <w:color w:val="000000"/>
                <w:sz w:val="24"/>
                <w:szCs w:val="24"/>
                <w:vertAlign w:val="superscript"/>
                <w:lang w:eastAsia="fr-FR"/>
              </w:rPr>
              <w:t>3</w:t>
            </w:r>
            <w:r w:rsidR="004E1C39" w:rsidRPr="00384029">
              <w:rPr>
                <w:rFonts w:ascii="Garamond" w:eastAsia="Times New Roman" w:hAnsi="Garamond" w:cs="Times New Roman"/>
                <w:b/>
                <w:bCs/>
                <w:color w:val="000000"/>
                <w:sz w:val="24"/>
                <w:szCs w:val="24"/>
                <w:vertAlign w:val="superscript"/>
                <w:lang w:eastAsia="fr-FR"/>
              </w:rPr>
              <w:t xml:space="preserve">ème </w:t>
            </w:r>
            <w:r w:rsidR="004E1C39" w:rsidRPr="00384029">
              <w:rPr>
                <w:rFonts w:ascii="Garamond" w:eastAsia="Times New Roman" w:hAnsi="Garamond" w:cs="Times New Roman"/>
                <w:b/>
                <w:bCs/>
                <w:color w:val="000000"/>
                <w:sz w:val="24"/>
                <w:szCs w:val="24"/>
                <w:lang w:eastAsia="fr-FR"/>
              </w:rPr>
              <w:t xml:space="preserve">tranche : </w:t>
            </w:r>
            <w:r w:rsidR="009476B6" w:rsidRPr="00384029">
              <w:rPr>
                <w:rFonts w:ascii="Garamond" w:hAnsi="Garamond" w:cs="Times New Roman"/>
                <w:sz w:val="24"/>
                <w:szCs w:val="24"/>
              </w:rPr>
              <w:t>R</w:t>
            </w:r>
            <w:r w:rsidR="00175B32" w:rsidRPr="00384029">
              <w:rPr>
                <w:rFonts w:ascii="Garamond" w:hAnsi="Garamond" w:cs="Times New Roman"/>
                <w:sz w:val="24"/>
                <w:szCs w:val="24"/>
              </w:rPr>
              <w:t>apport final</w:t>
            </w:r>
            <w:r w:rsidR="009476B6" w:rsidRPr="00384029">
              <w:rPr>
                <w:rFonts w:ascii="Garamond" w:hAnsi="Garamond" w:cs="Times New Roman"/>
                <w:sz w:val="24"/>
                <w:szCs w:val="24"/>
              </w:rPr>
              <w:t> </w:t>
            </w:r>
          </w:p>
        </w:tc>
        <w:tc>
          <w:tcPr>
            <w:tcW w:w="1173" w:type="pct"/>
            <w:shd w:val="clear" w:color="auto" w:fill="FFFFFF" w:themeFill="background1"/>
          </w:tcPr>
          <w:p w14:paraId="6AF48B4D" w14:textId="3A6809AB" w:rsidR="004E1C39" w:rsidRPr="00384029" w:rsidRDefault="004E1C39"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hAnsi="Garamond"/>
                <w:sz w:val="24"/>
                <w:szCs w:val="24"/>
              </w:rPr>
              <w:t>Au 90</w:t>
            </w:r>
            <w:r w:rsidRPr="00384029">
              <w:rPr>
                <w:rFonts w:ascii="Garamond" w:hAnsi="Garamond"/>
                <w:sz w:val="24"/>
                <w:szCs w:val="24"/>
                <w:vertAlign w:val="superscript"/>
              </w:rPr>
              <w:t>ème</w:t>
            </w:r>
            <w:r w:rsidRPr="00384029">
              <w:rPr>
                <w:rFonts w:ascii="Garamond" w:hAnsi="Garamond"/>
                <w:sz w:val="24"/>
                <w:szCs w:val="24"/>
              </w:rPr>
              <w:t xml:space="preserve"> jour de travail</w:t>
            </w:r>
          </w:p>
        </w:tc>
        <w:tc>
          <w:tcPr>
            <w:tcW w:w="1014" w:type="pct"/>
            <w:gridSpan w:val="2"/>
            <w:shd w:val="clear" w:color="auto" w:fill="FFFFFF" w:themeFill="background1"/>
          </w:tcPr>
          <w:p w14:paraId="30ABE4CA" w14:textId="311D3F24" w:rsidR="004E1C39" w:rsidRPr="00384029" w:rsidRDefault="00A12F6B"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hAnsi="Garamond"/>
                <w:sz w:val="24"/>
                <w:szCs w:val="24"/>
              </w:rPr>
              <w:t>50</w:t>
            </w:r>
            <w:r w:rsidR="004E1C39" w:rsidRPr="00384029">
              <w:rPr>
                <w:rFonts w:ascii="Garamond" w:hAnsi="Garamond"/>
                <w:sz w:val="24"/>
                <w:szCs w:val="24"/>
              </w:rPr>
              <w:t>%</w:t>
            </w:r>
          </w:p>
        </w:tc>
      </w:tr>
      <w:tr w:rsidR="004E1C39" w:rsidRPr="00384029" w14:paraId="55D829F0" w14:textId="77777777" w:rsidTr="008F2217">
        <w:trPr>
          <w:trHeight w:val="363"/>
        </w:trPr>
        <w:tc>
          <w:tcPr>
            <w:tcW w:w="2813" w:type="pct"/>
            <w:gridSpan w:val="2"/>
            <w:shd w:val="clear" w:color="auto" w:fill="FFFFFF" w:themeFill="background1"/>
            <w:vAlign w:val="center"/>
          </w:tcPr>
          <w:p w14:paraId="77FBC949" w14:textId="4C04B1AF" w:rsidR="004E1C39" w:rsidRPr="00384029" w:rsidRDefault="004E1C39" w:rsidP="004E1C39">
            <w:pPr>
              <w:spacing w:before="120" w:after="120" w:line="276" w:lineRule="auto"/>
              <w:jc w:val="both"/>
              <w:rPr>
                <w:rFonts w:ascii="Garamond" w:eastAsia="Times New Roman" w:hAnsi="Garamond" w:cs="Times New Roman"/>
                <w:bCs/>
                <w:sz w:val="24"/>
                <w:szCs w:val="24"/>
                <w:highlight w:val="yellow"/>
              </w:rPr>
            </w:pPr>
            <w:r w:rsidRPr="00384029">
              <w:rPr>
                <w:rFonts w:ascii="Garamond" w:eastAsia="Times New Roman" w:hAnsi="Garamond" w:cs="Times New Roman"/>
                <w:b/>
                <w:bCs/>
                <w:color w:val="000000"/>
                <w:sz w:val="24"/>
                <w:szCs w:val="24"/>
                <w:lang w:val="en-US" w:eastAsia="fr-FR"/>
              </w:rPr>
              <w:t>TOTAL</w:t>
            </w:r>
          </w:p>
        </w:tc>
        <w:tc>
          <w:tcPr>
            <w:tcW w:w="1173" w:type="pct"/>
            <w:shd w:val="clear" w:color="auto" w:fill="FFFFFF" w:themeFill="background1"/>
            <w:vAlign w:val="center"/>
          </w:tcPr>
          <w:p w14:paraId="1165E0AC" w14:textId="7D5C7312" w:rsidR="004E1C39" w:rsidRPr="00384029" w:rsidRDefault="004E1C39"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eastAsia="Times New Roman" w:hAnsi="Garamond" w:cs="Times New Roman"/>
                <w:b/>
                <w:bCs/>
                <w:color w:val="000000"/>
                <w:sz w:val="24"/>
                <w:szCs w:val="24"/>
                <w:lang w:eastAsia="fr-FR"/>
              </w:rPr>
              <w:t xml:space="preserve">90 </w:t>
            </w:r>
            <w:r w:rsidRPr="00384029">
              <w:rPr>
                <w:rFonts w:ascii="Garamond" w:eastAsia="Times New Roman" w:hAnsi="Garamond" w:cs="Times New Roman"/>
                <w:color w:val="000000"/>
                <w:sz w:val="24"/>
                <w:szCs w:val="24"/>
                <w:lang w:eastAsia="fr-FR"/>
              </w:rPr>
              <w:t>jours</w:t>
            </w:r>
          </w:p>
        </w:tc>
        <w:tc>
          <w:tcPr>
            <w:tcW w:w="1014" w:type="pct"/>
            <w:gridSpan w:val="2"/>
            <w:shd w:val="clear" w:color="auto" w:fill="FFFFFF" w:themeFill="background1"/>
            <w:vAlign w:val="center"/>
          </w:tcPr>
          <w:p w14:paraId="19C92D36" w14:textId="3CDAE165" w:rsidR="004E1C39" w:rsidRPr="00384029" w:rsidRDefault="004E1C39" w:rsidP="004E1C39">
            <w:pPr>
              <w:spacing w:before="120" w:after="120" w:line="276" w:lineRule="auto"/>
              <w:jc w:val="center"/>
              <w:rPr>
                <w:rFonts w:ascii="Garamond" w:eastAsia="Times New Roman" w:hAnsi="Garamond" w:cs="Times New Roman"/>
                <w:bCs/>
                <w:sz w:val="24"/>
                <w:szCs w:val="24"/>
                <w:highlight w:val="yellow"/>
              </w:rPr>
            </w:pPr>
            <w:r w:rsidRPr="00384029">
              <w:rPr>
                <w:rFonts w:ascii="Garamond" w:eastAsia="Times New Roman" w:hAnsi="Garamond" w:cs="Times New Roman"/>
                <w:b/>
                <w:bCs/>
                <w:color w:val="000000"/>
                <w:sz w:val="24"/>
                <w:szCs w:val="24"/>
                <w:lang w:val="en-US" w:eastAsia="fr-FR"/>
              </w:rPr>
              <w:t>100%</w:t>
            </w:r>
          </w:p>
        </w:tc>
      </w:tr>
    </w:tbl>
    <w:p w14:paraId="58D117C8" w14:textId="77777777" w:rsidR="001A6A92" w:rsidRPr="00384029" w:rsidRDefault="001A6A92" w:rsidP="001A6A92">
      <w:pPr>
        <w:rPr>
          <w:rFonts w:ascii="Garamond" w:hAnsi="Garamond"/>
        </w:rPr>
      </w:pPr>
    </w:p>
    <w:p w14:paraId="688A43E6" w14:textId="77777777" w:rsidR="00C266D1" w:rsidRPr="00384029" w:rsidRDefault="0024747F">
      <w:pPr>
        <w:rPr>
          <w:rFonts w:ascii="Garamond" w:hAnsi="Garamond"/>
        </w:rPr>
      </w:pPr>
    </w:p>
    <w:sectPr w:rsidR="00C266D1" w:rsidRPr="00384029" w:rsidSect="0056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DE6A" w14:textId="77777777" w:rsidR="002E207A" w:rsidRDefault="002E207A">
      <w:pPr>
        <w:spacing w:after="0" w:line="240" w:lineRule="auto"/>
      </w:pPr>
      <w:r>
        <w:separator/>
      </w:r>
    </w:p>
  </w:endnote>
  <w:endnote w:type="continuationSeparator" w:id="0">
    <w:p w14:paraId="13AC47B2" w14:textId="77777777" w:rsidR="002E207A" w:rsidRDefault="002E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97971"/>
      <w:docPartObj>
        <w:docPartGallery w:val="Page Numbers (Bottom of Page)"/>
        <w:docPartUnique/>
      </w:docPartObj>
    </w:sdtPr>
    <w:sdtEndPr/>
    <w:sdtContent>
      <w:p w14:paraId="6D129D91" w14:textId="0331853D" w:rsidR="008E37D3" w:rsidRDefault="00265201">
        <w:pPr>
          <w:pStyle w:val="Pieddepage"/>
          <w:jc w:val="right"/>
        </w:pPr>
        <w:r>
          <w:fldChar w:fldCharType="begin"/>
        </w:r>
        <w:r>
          <w:instrText>PAGE   \* MERGEFORMAT</w:instrText>
        </w:r>
        <w:r>
          <w:fldChar w:fldCharType="separate"/>
        </w:r>
        <w:r w:rsidR="001346BD">
          <w:rPr>
            <w:noProof/>
          </w:rPr>
          <w:t>9</w:t>
        </w:r>
        <w:r>
          <w:fldChar w:fldCharType="end"/>
        </w:r>
      </w:p>
    </w:sdtContent>
  </w:sdt>
  <w:p w14:paraId="7E33C66C" w14:textId="77777777" w:rsidR="005653B2" w:rsidRDefault="002474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D2E3" w14:textId="77777777" w:rsidR="002E207A" w:rsidRDefault="002E207A">
      <w:pPr>
        <w:spacing w:after="0" w:line="240" w:lineRule="auto"/>
      </w:pPr>
      <w:r>
        <w:separator/>
      </w:r>
    </w:p>
  </w:footnote>
  <w:footnote w:type="continuationSeparator" w:id="0">
    <w:p w14:paraId="5B30187E" w14:textId="77777777" w:rsidR="002E207A" w:rsidRDefault="002E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A9A"/>
    <w:multiLevelType w:val="hybridMultilevel"/>
    <w:tmpl w:val="A5B2071E"/>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CF230E"/>
    <w:multiLevelType w:val="hybridMultilevel"/>
    <w:tmpl w:val="1C485C62"/>
    <w:lvl w:ilvl="0" w:tplc="55620D42">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 w15:restartNumberingAfterBreak="0">
    <w:nsid w:val="14511210"/>
    <w:multiLevelType w:val="hybridMultilevel"/>
    <w:tmpl w:val="79A29ED0"/>
    <w:lvl w:ilvl="0" w:tplc="35D6B33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BDE38E3"/>
    <w:multiLevelType w:val="hybridMultilevel"/>
    <w:tmpl w:val="5260918E"/>
    <w:lvl w:ilvl="0" w:tplc="E9ACF100">
      <w:start w:val="60"/>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2821CA"/>
    <w:multiLevelType w:val="hybridMultilevel"/>
    <w:tmpl w:val="E7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3369B3"/>
    <w:multiLevelType w:val="hybridMultilevel"/>
    <w:tmpl w:val="3E0E2DC8"/>
    <w:lvl w:ilvl="0" w:tplc="CD1C4FF0">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E52F47"/>
    <w:multiLevelType w:val="hybridMultilevel"/>
    <w:tmpl w:val="21D2F754"/>
    <w:lvl w:ilvl="0" w:tplc="E9ACF100">
      <w:start w:val="60"/>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1401FF4"/>
    <w:multiLevelType w:val="hybridMultilevel"/>
    <w:tmpl w:val="F43E8FFC"/>
    <w:lvl w:ilvl="0" w:tplc="0C182EE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CBD53C2"/>
    <w:multiLevelType w:val="hybridMultilevel"/>
    <w:tmpl w:val="F88EF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3DD344D"/>
    <w:multiLevelType w:val="hybridMultilevel"/>
    <w:tmpl w:val="31D2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324524"/>
    <w:multiLevelType w:val="hybridMultilevel"/>
    <w:tmpl w:val="60F05948"/>
    <w:lvl w:ilvl="0" w:tplc="E9ACF100">
      <w:start w:val="60"/>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426835">
    <w:abstractNumId w:val="11"/>
  </w:num>
  <w:num w:numId="2" w16cid:durableId="1861432455">
    <w:abstractNumId w:val="0"/>
  </w:num>
  <w:num w:numId="3" w16cid:durableId="294483607">
    <w:abstractNumId w:val="4"/>
  </w:num>
  <w:num w:numId="4" w16cid:durableId="754285301">
    <w:abstractNumId w:val="9"/>
  </w:num>
  <w:num w:numId="5" w16cid:durableId="1702512347">
    <w:abstractNumId w:val="7"/>
  </w:num>
  <w:num w:numId="6" w16cid:durableId="744229546">
    <w:abstractNumId w:val="5"/>
  </w:num>
  <w:num w:numId="7" w16cid:durableId="1502889062">
    <w:abstractNumId w:val="1"/>
  </w:num>
  <w:num w:numId="8" w16cid:durableId="847598569">
    <w:abstractNumId w:val="6"/>
  </w:num>
  <w:num w:numId="9" w16cid:durableId="1358695017">
    <w:abstractNumId w:val="3"/>
  </w:num>
  <w:num w:numId="10" w16cid:durableId="1454791944">
    <w:abstractNumId w:val="10"/>
  </w:num>
  <w:num w:numId="11" w16cid:durableId="640770226">
    <w:abstractNumId w:val="2"/>
  </w:num>
  <w:num w:numId="12" w16cid:durableId="1749767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92"/>
    <w:rsid w:val="00001BBD"/>
    <w:rsid w:val="00004B70"/>
    <w:rsid w:val="000129CD"/>
    <w:rsid w:val="00021BCB"/>
    <w:rsid w:val="00023CE8"/>
    <w:rsid w:val="00040E5C"/>
    <w:rsid w:val="00061088"/>
    <w:rsid w:val="00067094"/>
    <w:rsid w:val="00081EF3"/>
    <w:rsid w:val="00096329"/>
    <w:rsid w:val="000A4211"/>
    <w:rsid w:val="000B31E2"/>
    <w:rsid w:val="000B7BB2"/>
    <w:rsid w:val="000D308A"/>
    <w:rsid w:val="000F2518"/>
    <w:rsid w:val="000F4690"/>
    <w:rsid w:val="0011731F"/>
    <w:rsid w:val="001346BD"/>
    <w:rsid w:val="00137E54"/>
    <w:rsid w:val="0014243D"/>
    <w:rsid w:val="00162E87"/>
    <w:rsid w:val="00167CBF"/>
    <w:rsid w:val="00175B32"/>
    <w:rsid w:val="00187DAF"/>
    <w:rsid w:val="001A6A92"/>
    <w:rsid w:val="001C4788"/>
    <w:rsid w:val="001E4FE7"/>
    <w:rsid w:val="0020571C"/>
    <w:rsid w:val="00211611"/>
    <w:rsid w:val="00217023"/>
    <w:rsid w:val="00220243"/>
    <w:rsid w:val="00221115"/>
    <w:rsid w:val="00222701"/>
    <w:rsid w:val="00227A01"/>
    <w:rsid w:val="00245272"/>
    <w:rsid w:val="0024747F"/>
    <w:rsid w:val="00254AC4"/>
    <w:rsid w:val="002643BD"/>
    <w:rsid w:val="00265201"/>
    <w:rsid w:val="00292D43"/>
    <w:rsid w:val="00297C67"/>
    <w:rsid w:val="002B5DF6"/>
    <w:rsid w:val="002E207A"/>
    <w:rsid w:val="00300A2E"/>
    <w:rsid w:val="00301F65"/>
    <w:rsid w:val="003250F2"/>
    <w:rsid w:val="003526E7"/>
    <w:rsid w:val="00384029"/>
    <w:rsid w:val="003B4A31"/>
    <w:rsid w:val="003B5B1C"/>
    <w:rsid w:val="003C7A7A"/>
    <w:rsid w:val="003E65D6"/>
    <w:rsid w:val="00400D25"/>
    <w:rsid w:val="00406E92"/>
    <w:rsid w:val="0045386E"/>
    <w:rsid w:val="00464943"/>
    <w:rsid w:val="00473306"/>
    <w:rsid w:val="004E1C39"/>
    <w:rsid w:val="00526616"/>
    <w:rsid w:val="005576B2"/>
    <w:rsid w:val="00583FC3"/>
    <w:rsid w:val="005B2514"/>
    <w:rsid w:val="005B6EA0"/>
    <w:rsid w:val="005C2E5E"/>
    <w:rsid w:val="005E1FAA"/>
    <w:rsid w:val="005F6497"/>
    <w:rsid w:val="0062184D"/>
    <w:rsid w:val="0064753D"/>
    <w:rsid w:val="0065467A"/>
    <w:rsid w:val="006605D1"/>
    <w:rsid w:val="006738E7"/>
    <w:rsid w:val="00680860"/>
    <w:rsid w:val="00694E95"/>
    <w:rsid w:val="006B4C01"/>
    <w:rsid w:val="006C061A"/>
    <w:rsid w:val="006D6A22"/>
    <w:rsid w:val="006F5DBE"/>
    <w:rsid w:val="00715202"/>
    <w:rsid w:val="00720658"/>
    <w:rsid w:val="00725FE1"/>
    <w:rsid w:val="00726867"/>
    <w:rsid w:val="007362B9"/>
    <w:rsid w:val="00741909"/>
    <w:rsid w:val="007426A0"/>
    <w:rsid w:val="00754AB4"/>
    <w:rsid w:val="00757F04"/>
    <w:rsid w:val="007626CB"/>
    <w:rsid w:val="00766E47"/>
    <w:rsid w:val="007713DD"/>
    <w:rsid w:val="007924DC"/>
    <w:rsid w:val="007B2F4B"/>
    <w:rsid w:val="007C4143"/>
    <w:rsid w:val="007C41FC"/>
    <w:rsid w:val="007D0C27"/>
    <w:rsid w:val="007D1D4B"/>
    <w:rsid w:val="007D453E"/>
    <w:rsid w:val="007E40DA"/>
    <w:rsid w:val="007F47E3"/>
    <w:rsid w:val="0080463B"/>
    <w:rsid w:val="00805606"/>
    <w:rsid w:val="00831FBE"/>
    <w:rsid w:val="00835301"/>
    <w:rsid w:val="00846331"/>
    <w:rsid w:val="00870558"/>
    <w:rsid w:val="008800C1"/>
    <w:rsid w:val="00880F90"/>
    <w:rsid w:val="00881CE8"/>
    <w:rsid w:val="008860D4"/>
    <w:rsid w:val="00887ED1"/>
    <w:rsid w:val="008B613A"/>
    <w:rsid w:val="008C382C"/>
    <w:rsid w:val="008D74BA"/>
    <w:rsid w:val="008F2217"/>
    <w:rsid w:val="008F2D3C"/>
    <w:rsid w:val="009208AD"/>
    <w:rsid w:val="009230CA"/>
    <w:rsid w:val="009476B6"/>
    <w:rsid w:val="00965987"/>
    <w:rsid w:val="009737FC"/>
    <w:rsid w:val="00976019"/>
    <w:rsid w:val="00981A49"/>
    <w:rsid w:val="009B7563"/>
    <w:rsid w:val="009D12D1"/>
    <w:rsid w:val="00A12F6B"/>
    <w:rsid w:val="00A40519"/>
    <w:rsid w:val="00A40E25"/>
    <w:rsid w:val="00A43FFD"/>
    <w:rsid w:val="00A456D1"/>
    <w:rsid w:val="00A552D9"/>
    <w:rsid w:val="00A81CE0"/>
    <w:rsid w:val="00A8793C"/>
    <w:rsid w:val="00AA0294"/>
    <w:rsid w:val="00AA5847"/>
    <w:rsid w:val="00AD07C6"/>
    <w:rsid w:val="00B023F0"/>
    <w:rsid w:val="00B04941"/>
    <w:rsid w:val="00B23985"/>
    <w:rsid w:val="00B30A42"/>
    <w:rsid w:val="00B33EEB"/>
    <w:rsid w:val="00B44CF2"/>
    <w:rsid w:val="00B53EE2"/>
    <w:rsid w:val="00B643AC"/>
    <w:rsid w:val="00B7622F"/>
    <w:rsid w:val="00B82774"/>
    <w:rsid w:val="00B9212C"/>
    <w:rsid w:val="00BB26B6"/>
    <w:rsid w:val="00BD3FE9"/>
    <w:rsid w:val="00BF047C"/>
    <w:rsid w:val="00BF0B03"/>
    <w:rsid w:val="00C11695"/>
    <w:rsid w:val="00C13071"/>
    <w:rsid w:val="00C24235"/>
    <w:rsid w:val="00C7168C"/>
    <w:rsid w:val="00C77C10"/>
    <w:rsid w:val="00C866F8"/>
    <w:rsid w:val="00C9042A"/>
    <w:rsid w:val="00C925CF"/>
    <w:rsid w:val="00CA3E4C"/>
    <w:rsid w:val="00CB7F8C"/>
    <w:rsid w:val="00CC537B"/>
    <w:rsid w:val="00CE05CE"/>
    <w:rsid w:val="00D03D0E"/>
    <w:rsid w:val="00D1574D"/>
    <w:rsid w:val="00D5692F"/>
    <w:rsid w:val="00D64994"/>
    <w:rsid w:val="00D7164A"/>
    <w:rsid w:val="00D733A3"/>
    <w:rsid w:val="00DD76D0"/>
    <w:rsid w:val="00E02806"/>
    <w:rsid w:val="00E142D0"/>
    <w:rsid w:val="00E43550"/>
    <w:rsid w:val="00E52E37"/>
    <w:rsid w:val="00E54A67"/>
    <w:rsid w:val="00E82D48"/>
    <w:rsid w:val="00E831D2"/>
    <w:rsid w:val="00EC0969"/>
    <w:rsid w:val="00EC4649"/>
    <w:rsid w:val="00ED0B3B"/>
    <w:rsid w:val="00EE01EC"/>
    <w:rsid w:val="00EE1FA9"/>
    <w:rsid w:val="00F11D85"/>
    <w:rsid w:val="00F34E8B"/>
    <w:rsid w:val="00F6213E"/>
    <w:rsid w:val="00F942D1"/>
    <w:rsid w:val="00FA46E4"/>
    <w:rsid w:val="00FA5201"/>
    <w:rsid w:val="00FE2154"/>
    <w:rsid w:val="00FE60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1507"/>
  <w15:chartTrackingRefBased/>
  <w15:docId w15:val="{93A5D270-34A8-46DB-83C9-0289060F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A6A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A92"/>
  </w:style>
  <w:style w:type="paragraph" w:styleId="Paragraphedeliste">
    <w:name w:val="List Paragraph"/>
    <w:aliases w:val="List Paragraph11,Normal bullet 21,List Paragraph111,Bullet list1,Resume Title,3,Premier,Style 3,Paragraphe  revu,Paragraphe de liste rapport atelier Mada,Figures,List Bullet Mary,Body,Title Style 1,References,Bullets"/>
    <w:basedOn w:val="Normal"/>
    <w:link w:val="ParagraphedelisteCar"/>
    <w:uiPriority w:val="34"/>
    <w:qFormat/>
    <w:rsid w:val="00301F65"/>
    <w:pPr>
      <w:ind w:left="720"/>
      <w:contextualSpacing/>
    </w:pPr>
  </w:style>
  <w:style w:type="character" w:customStyle="1" w:styleId="ParagraphedelisteCar">
    <w:name w:val="Paragraphe de liste Car"/>
    <w:aliases w:val="List Paragraph11 Car,Normal bullet 21 Car,List Paragraph111 Car,Bullet list1 Car,Resume Title Car,3 Car,Premier Car,Style 3 Car,Paragraphe  revu Car,Paragraphe de liste rapport atelier Mada Car,Figures Car,List Bullet Mary Car"/>
    <w:link w:val="Paragraphedeliste"/>
    <w:uiPriority w:val="34"/>
    <w:locked/>
    <w:rsid w:val="00F6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5486">
      <w:bodyDiv w:val="1"/>
      <w:marLeft w:val="0"/>
      <w:marRight w:val="0"/>
      <w:marTop w:val="0"/>
      <w:marBottom w:val="0"/>
      <w:divBdr>
        <w:top w:val="none" w:sz="0" w:space="0" w:color="auto"/>
        <w:left w:val="none" w:sz="0" w:space="0" w:color="auto"/>
        <w:bottom w:val="none" w:sz="0" w:space="0" w:color="auto"/>
        <w:right w:val="none" w:sz="0" w:space="0" w:color="auto"/>
      </w:divBdr>
    </w:div>
    <w:div w:id="16586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043C-067E-4205-ADC3-D900BD2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BALDE</dc:creator>
  <cp:keywords/>
  <dc:description/>
  <cp:lastModifiedBy>Mariama Dioulde Balde</cp:lastModifiedBy>
  <cp:revision>38</cp:revision>
  <dcterms:created xsi:type="dcterms:W3CDTF">2022-04-06T12:07:00Z</dcterms:created>
  <dcterms:modified xsi:type="dcterms:W3CDTF">2022-04-11T12:00:00Z</dcterms:modified>
</cp:coreProperties>
</file>