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1863" w14:textId="221FE72C" w:rsidR="00B164AB" w:rsidRDefault="00B164AB" w:rsidP="00806F05">
      <w:pPr>
        <w:spacing w:after="0"/>
        <w:jc w:val="center"/>
        <w:rPr>
          <w:rFonts w:ascii="Arial Narrow" w:eastAsia="Calibri" w:hAnsi="Arial Narrow" w:cs="Times New Roman"/>
          <w:b/>
          <w:color w:val="0070C0"/>
          <w:sz w:val="32"/>
          <w:szCs w:val="32"/>
          <w:lang w:val="fr-FR"/>
        </w:rPr>
      </w:pPr>
      <w:r w:rsidRPr="00806F05">
        <w:rPr>
          <w:rFonts w:ascii="Arial Narrow" w:eastAsia="Calibri" w:hAnsi="Arial Narrow" w:cs="Times New Roman"/>
          <w:b/>
          <w:noProof/>
          <w:color w:val="0070C0"/>
          <w:sz w:val="32"/>
          <w:szCs w:val="32"/>
          <w:lang w:val="fr-FR"/>
        </w:rPr>
        <w:drawing>
          <wp:anchor distT="0" distB="0" distL="114300" distR="114300" simplePos="0" relativeHeight="251659264" behindDoc="0" locked="0" layoutInCell="1" allowOverlap="1" wp14:anchorId="5B40FAA6" wp14:editId="66DCABC3">
            <wp:simplePos x="0" y="0"/>
            <wp:positionH relativeFrom="margin">
              <wp:posOffset>6148070</wp:posOffset>
            </wp:positionH>
            <wp:positionV relativeFrom="paragraph">
              <wp:posOffset>-305435</wp:posOffset>
            </wp:positionV>
            <wp:extent cx="368490" cy="736979"/>
            <wp:effectExtent l="0" t="0" r="0" b="635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490" cy="7369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06F05">
        <w:rPr>
          <w:rFonts w:ascii="Arial Narrow" w:eastAsia="Calibri" w:hAnsi="Arial Narrow" w:cs="Times New Roman"/>
          <w:b/>
          <w:color w:val="0070C0"/>
          <w:sz w:val="32"/>
          <w:szCs w:val="32"/>
          <w:lang w:val="fr-FR"/>
        </w:rPr>
        <w:t xml:space="preserve">Notice de consultation pour </w:t>
      </w:r>
      <w:r w:rsidR="00806F05" w:rsidRPr="00806F05">
        <w:rPr>
          <w:rFonts w:ascii="Arial Narrow" w:eastAsia="Calibri" w:hAnsi="Arial Narrow" w:cs="Times New Roman"/>
          <w:b/>
          <w:color w:val="0070C0"/>
          <w:sz w:val="32"/>
          <w:szCs w:val="32"/>
          <w:lang w:val="fr-FR"/>
        </w:rPr>
        <w:t xml:space="preserve">le </w:t>
      </w:r>
      <w:r w:rsidR="00A7795A" w:rsidRPr="00806F05">
        <w:rPr>
          <w:rFonts w:ascii="Arial Narrow" w:eastAsia="Calibri" w:hAnsi="Arial Narrow" w:cs="Times New Roman"/>
          <w:b/>
          <w:color w:val="0070C0"/>
          <w:sz w:val="32"/>
          <w:szCs w:val="32"/>
          <w:lang w:val="fr-FR"/>
        </w:rPr>
        <w:t>recrutement d’un(e) consultant(e) national(e) en charge de la réalisation d’une étude sur la sensibilité du secteur financier tchadien au genr</w:t>
      </w:r>
      <w:r w:rsidR="00806F05" w:rsidRPr="00806F05">
        <w:rPr>
          <w:rFonts w:ascii="Arial Narrow" w:eastAsia="Calibri" w:hAnsi="Arial Narrow" w:cs="Times New Roman"/>
          <w:b/>
          <w:color w:val="0070C0"/>
          <w:sz w:val="32"/>
          <w:szCs w:val="32"/>
          <w:lang w:val="fr-FR"/>
        </w:rPr>
        <w:t>e</w:t>
      </w:r>
      <w:r w:rsidRPr="00806F05">
        <w:rPr>
          <w:rFonts w:ascii="Arial Narrow" w:eastAsia="Calibri" w:hAnsi="Arial Narrow" w:cs="Times New Roman"/>
          <w:b/>
          <w:color w:val="0070C0"/>
          <w:sz w:val="32"/>
          <w:szCs w:val="32"/>
          <w:lang w:val="fr-FR"/>
        </w:rPr>
        <w:t>.</w:t>
      </w:r>
    </w:p>
    <w:p w14:paraId="3CF44020" w14:textId="77777777" w:rsidR="00806F05" w:rsidRPr="00806F05" w:rsidRDefault="00806F05" w:rsidP="00806F05">
      <w:pPr>
        <w:spacing w:after="0"/>
        <w:jc w:val="center"/>
        <w:rPr>
          <w:rFonts w:ascii="Arial Narrow" w:eastAsia="Calibri" w:hAnsi="Arial Narrow" w:cs="Times New Roman"/>
          <w:b/>
          <w:color w:val="0070C0"/>
          <w:sz w:val="32"/>
          <w:szCs w:val="32"/>
          <w:lang w:val="fr-FR"/>
        </w:rPr>
      </w:pPr>
    </w:p>
    <w:p w14:paraId="1735620A" w14:textId="60496EF1" w:rsidR="00B164AB" w:rsidRPr="00947F09" w:rsidRDefault="00B164AB" w:rsidP="00B164AB">
      <w:pPr>
        <w:spacing w:before="120" w:after="120"/>
        <w:jc w:val="both"/>
        <w:rPr>
          <w:rFonts w:ascii="Times New Roman" w:eastAsia="Times New Roman" w:hAnsi="Times New Roman" w:cs="Times New Roman"/>
          <w:b/>
          <w:color w:val="000000"/>
          <w:lang w:val="fr-FR" w:eastAsia="rw-RW"/>
        </w:rPr>
      </w:pPr>
      <w:r>
        <w:rPr>
          <w:rFonts w:ascii="Times New Roman" w:eastAsia="Times New Roman" w:hAnsi="Times New Roman" w:cs="Times New Roman"/>
          <w:b/>
          <w:bCs/>
          <w:lang w:val="fr-FR"/>
        </w:rPr>
        <w:t xml:space="preserve">N° </w:t>
      </w:r>
      <w:r w:rsidRPr="001A00C8">
        <w:rPr>
          <w:rFonts w:ascii="Times New Roman" w:eastAsia="Times New Roman" w:hAnsi="Times New Roman" w:cs="Times New Roman"/>
          <w:b/>
          <w:bCs/>
          <w:lang w:val="fr-FR"/>
        </w:rPr>
        <w:t>IC/TCD10/2022/0</w:t>
      </w:r>
      <w:r w:rsidR="0052371F">
        <w:rPr>
          <w:rFonts w:ascii="Times New Roman" w:eastAsia="Times New Roman" w:hAnsi="Times New Roman" w:cs="Times New Roman"/>
          <w:b/>
          <w:bCs/>
          <w:lang w:val="fr-FR"/>
        </w:rPr>
        <w:t>6</w:t>
      </w:r>
      <w:r w:rsidRPr="001A00C8">
        <w:rPr>
          <w:rFonts w:ascii="Times New Roman" w:eastAsia="Times New Roman" w:hAnsi="Times New Roman" w:cs="Times New Roman"/>
          <w:b/>
          <w:bCs/>
          <w:lang w:val="fr-FR"/>
        </w:rPr>
        <w:t>/0</w:t>
      </w:r>
      <w:r w:rsidR="00C06A42">
        <w:rPr>
          <w:rFonts w:ascii="Times New Roman" w:eastAsia="Times New Roman" w:hAnsi="Times New Roman" w:cs="Times New Roman"/>
          <w:b/>
          <w:bCs/>
          <w:lang w:val="fr-FR"/>
        </w:rPr>
        <w:t>21</w:t>
      </w:r>
      <w:r w:rsidRPr="00947F09">
        <w:rPr>
          <w:rFonts w:ascii="Times New Roman" w:eastAsia="Times New Roman" w:hAnsi="Times New Roman" w:cs="Times New Roman"/>
          <w:b/>
          <w:color w:val="000000"/>
          <w:lang w:val="fr-FR" w:eastAsia="rw-RW"/>
        </w:rPr>
        <w:tab/>
      </w:r>
      <w:r w:rsidRPr="00947F09">
        <w:rPr>
          <w:rFonts w:ascii="Times New Roman" w:eastAsia="Times New Roman" w:hAnsi="Times New Roman" w:cs="Times New Roman"/>
          <w:b/>
          <w:color w:val="000000"/>
          <w:lang w:val="fr-FR" w:eastAsia="rw-RW"/>
        </w:rPr>
        <w:tab/>
      </w:r>
      <w:r w:rsidRPr="00947F09">
        <w:rPr>
          <w:rFonts w:ascii="Times New Roman" w:eastAsia="Times New Roman" w:hAnsi="Times New Roman" w:cs="Times New Roman"/>
          <w:b/>
          <w:color w:val="000000"/>
          <w:lang w:val="fr-FR" w:eastAsia="rw-RW"/>
        </w:rPr>
        <w:tab/>
        <w:t xml:space="preserve"> </w:t>
      </w:r>
      <w:r w:rsidRPr="00947F09">
        <w:rPr>
          <w:rFonts w:ascii="Times New Roman" w:eastAsia="Times New Roman" w:hAnsi="Times New Roman" w:cs="Times New Roman"/>
          <w:b/>
          <w:color w:val="000000"/>
          <w:lang w:val="fr-FR" w:eastAsia="rw-RW"/>
        </w:rPr>
        <w:tab/>
      </w:r>
      <w:r w:rsidRPr="00947F09">
        <w:rPr>
          <w:rFonts w:ascii="Times New Roman" w:eastAsia="Times New Roman" w:hAnsi="Times New Roman" w:cs="Times New Roman"/>
          <w:b/>
          <w:color w:val="000000"/>
          <w:lang w:val="fr-FR" w:eastAsia="rw-RW"/>
        </w:rPr>
        <w:tab/>
      </w:r>
      <w:r w:rsidRPr="00947F09">
        <w:rPr>
          <w:rFonts w:ascii="Times New Roman" w:eastAsia="Times New Roman" w:hAnsi="Times New Roman" w:cs="Times New Roman"/>
          <w:b/>
          <w:color w:val="000000"/>
          <w:lang w:val="fr-FR" w:eastAsia="rw-RW"/>
        </w:rPr>
        <w:tab/>
      </w:r>
      <w:r w:rsidRPr="00947F09">
        <w:rPr>
          <w:rFonts w:ascii="Times New Roman" w:eastAsia="Times New Roman" w:hAnsi="Times New Roman" w:cs="Times New Roman"/>
          <w:b/>
          <w:color w:val="000000"/>
          <w:lang w:val="fr-FR" w:eastAsia="rw-RW"/>
        </w:rPr>
        <w:tab/>
        <w:t xml:space="preserve">Date : </w:t>
      </w:r>
      <w:r w:rsidR="00806F05">
        <w:rPr>
          <w:rFonts w:ascii="Times New Roman" w:eastAsia="Times New Roman" w:hAnsi="Times New Roman" w:cs="Times New Roman"/>
          <w:b/>
          <w:color w:val="000000"/>
          <w:lang w:val="fr-FR" w:eastAsia="rw-RW"/>
        </w:rPr>
        <w:t>16 juin</w:t>
      </w:r>
      <w:r w:rsidRPr="00947F09">
        <w:rPr>
          <w:rFonts w:ascii="Times New Roman" w:eastAsia="Times New Roman" w:hAnsi="Times New Roman" w:cs="Times New Roman"/>
          <w:b/>
          <w:color w:val="000000"/>
          <w:lang w:val="fr-FR" w:eastAsia="rw-RW"/>
        </w:rPr>
        <w:t xml:space="preserve"> 202</w:t>
      </w:r>
      <w:r>
        <w:rPr>
          <w:rFonts w:ascii="Times New Roman" w:eastAsia="Times New Roman" w:hAnsi="Times New Roman" w:cs="Times New Roman"/>
          <w:b/>
          <w:color w:val="000000"/>
          <w:lang w:val="fr-FR" w:eastAsia="rw-RW"/>
        </w:rPr>
        <w:t>2</w:t>
      </w:r>
      <w:r w:rsidRPr="00947F09">
        <w:rPr>
          <w:rFonts w:ascii="Times New Roman" w:eastAsia="Times New Roman" w:hAnsi="Times New Roman" w:cs="Times New Roman"/>
          <w:b/>
          <w:color w:val="000000"/>
          <w:lang w:val="fr-FR" w:eastAsia="rw-RW"/>
        </w:rPr>
        <w:t xml:space="preserve"> </w:t>
      </w:r>
    </w:p>
    <w:p w14:paraId="75FEC577" w14:textId="77777777" w:rsidR="00B164AB" w:rsidRPr="00947F09" w:rsidRDefault="00B164AB" w:rsidP="00B164AB">
      <w:pPr>
        <w:spacing w:before="120" w:after="120"/>
        <w:jc w:val="both"/>
        <w:rPr>
          <w:rFonts w:ascii="Times New Roman" w:eastAsia="Times New Roman" w:hAnsi="Times New Roman" w:cs="Times New Roman"/>
          <w:b/>
          <w:color w:val="000000"/>
          <w:lang w:val="fr-FR" w:eastAsia="rw-RW"/>
        </w:rPr>
      </w:pPr>
      <w:r w:rsidRPr="00947F09">
        <w:rPr>
          <w:rFonts w:ascii="Times New Roman" w:hAnsi="Times New Roman" w:cs="Times New Roman"/>
          <w:noProof/>
          <w:lang w:val="fr-FR"/>
        </w:rPr>
        <mc:AlternateContent>
          <mc:Choice Requires="wps">
            <w:drawing>
              <wp:anchor distT="4294967293" distB="4294967293" distL="114300" distR="114300" simplePos="0" relativeHeight="251660288" behindDoc="0" locked="0" layoutInCell="1" allowOverlap="1" wp14:anchorId="3AB6428A" wp14:editId="7D2374C8">
                <wp:simplePos x="0" y="0"/>
                <wp:positionH relativeFrom="column">
                  <wp:posOffset>-250825</wp:posOffset>
                </wp:positionH>
                <wp:positionV relativeFrom="paragraph">
                  <wp:posOffset>115569</wp:posOffset>
                </wp:positionV>
                <wp:extent cx="6638925" cy="0"/>
                <wp:effectExtent l="0" t="19050" r="28575" b="19050"/>
                <wp:wrapNone/>
                <wp:docPr id="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B8C32" id="_x0000_t32" coordsize="21600,21600" o:spt="32" o:oned="t" path="m,l21600,21600e" filled="f">
                <v:path arrowok="t" fillok="f" o:connecttype="none"/>
                <o:lock v:ext="edit" shapetype="t"/>
              </v:shapetype>
              <v:shape id="Connecteur droit avec flèche 2" o:spid="_x0000_s1026" type="#_x0000_t32" style="position:absolute;margin-left:-19.75pt;margin-top:9.1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" strokecolor="blue" strokeweight="4.5pt">
                <o:lock v:ext="edit" shapetype="f"/>
              </v:shape>
            </w:pict>
          </mc:Fallback>
        </mc:AlternateContent>
      </w:r>
      <w:r w:rsidRPr="00947F09">
        <w:rPr>
          <w:rFonts w:ascii="Times New Roman" w:hAnsi="Times New Roman" w:cs="Times New Roman"/>
          <w:noProof/>
          <w:lang w:val="fr-FR"/>
        </w:rPr>
        <w:t>:</w:t>
      </w:r>
    </w:p>
    <w:p w14:paraId="49EA4A09" w14:textId="77777777" w:rsidR="00B164AB" w:rsidRPr="001A00C8" w:rsidRDefault="00B164AB" w:rsidP="00B164AB">
      <w:pPr>
        <w:ind w:right="419"/>
        <w:jc w:val="both"/>
        <w:rPr>
          <w:rFonts w:ascii="Times New Roman" w:hAnsi="Times New Roman" w:cs="Times New Roman"/>
          <w:b/>
          <w:bCs/>
          <w:lang w:val="fr-FR"/>
        </w:rPr>
      </w:pPr>
      <w:r w:rsidRPr="00947F09">
        <w:rPr>
          <w:rFonts w:ascii="Times New Roman" w:hAnsi="Times New Roman" w:cs="Times New Roman"/>
          <w:b/>
          <w:bCs/>
          <w:lang w:val="fr-FR"/>
        </w:rPr>
        <w:t>Pays :</w:t>
      </w:r>
      <w:r w:rsidRPr="00947F09">
        <w:rPr>
          <w:rFonts w:ascii="Times New Roman" w:hAnsi="Times New Roman" w:cs="Times New Roman"/>
          <w:b/>
          <w:bCs/>
          <w:lang w:val="fr-FR"/>
        </w:rPr>
        <w:tab/>
      </w:r>
      <w:r w:rsidRPr="00947F09">
        <w:rPr>
          <w:rFonts w:ascii="Times New Roman" w:hAnsi="Times New Roman" w:cs="Times New Roman"/>
          <w:b/>
          <w:bCs/>
          <w:lang w:val="fr-FR"/>
        </w:rPr>
        <w:tab/>
      </w:r>
      <w:r w:rsidRPr="00947F09">
        <w:rPr>
          <w:rFonts w:ascii="Times New Roman" w:hAnsi="Times New Roman" w:cs="Times New Roman"/>
          <w:b/>
          <w:bCs/>
          <w:lang w:val="fr-FR"/>
        </w:rPr>
        <w:tab/>
      </w:r>
      <w:r w:rsidRPr="00947F09">
        <w:rPr>
          <w:rFonts w:ascii="Times New Roman" w:hAnsi="Times New Roman" w:cs="Times New Roman"/>
          <w:b/>
          <w:bCs/>
          <w:lang w:val="fr-FR"/>
        </w:rPr>
        <w:tab/>
        <w:t>Tchad</w:t>
      </w:r>
    </w:p>
    <w:p w14:paraId="3C271303" w14:textId="43446EDD" w:rsidR="00B164AB" w:rsidRPr="001A00C8" w:rsidRDefault="00B164AB" w:rsidP="00B164AB">
      <w:pPr>
        <w:spacing w:after="160" w:line="259" w:lineRule="auto"/>
        <w:ind w:left="2835" w:hanging="2835"/>
        <w:jc w:val="both"/>
        <w:rPr>
          <w:rFonts w:ascii="Times New Roman" w:hAnsi="Times New Roman" w:cs="Times New Roman"/>
          <w:bCs/>
          <w:lang w:val="fr-FR"/>
        </w:rPr>
      </w:pPr>
      <w:r w:rsidRPr="001A00C8">
        <w:rPr>
          <w:rFonts w:ascii="Times New Roman" w:hAnsi="Times New Roman" w:cs="Times New Roman"/>
          <w:b/>
          <w:lang w:val="fr-FR"/>
        </w:rPr>
        <w:t>Projet </w:t>
      </w:r>
      <w:r w:rsidRPr="001A00C8">
        <w:rPr>
          <w:rFonts w:ascii="Times New Roman" w:hAnsi="Times New Roman" w:cs="Times New Roman"/>
          <w:bCs/>
          <w:lang w:val="fr-FR"/>
        </w:rPr>
        <w:t>:</w:t>
      </w:r>
      <w:r w:rsidRPr="00947F09">
        <w:rPr>
          <w:rFonts w:ascii="Times New Roman" w:hAnsi="Times New Roman" w:cs="Times New Roman"/>
          <w:bCs/>
          <w:lang w:val="fr-FR"/>
        </w:rPr>
        <w:tab/>
      </w:r>
      <w:r w:rsidRPr="001A00C8">
        <w:rPr>
          <w:rStyle w:val="lev"/>
          <w:rFonts w:ascii="Verdana" w:hAnsi="Verdana"/>
          <w:color w:val="333333"/>
          <w:sz w:val="17"/>
          <w:szCs w:val="17"/>
          <w:shd w:val="clear" w:color="auto" w:fill="FFFFFF"/>
          <w:lang w:val="fr-FR"/>
        </w:rPr>
        <w:t> </w:t>
      </w:r>
      <w:r w:rsidR="00806F05">
        <w:rPr>
          <w:rFonts w:ascii="Times New Roman" w:hAnsi="Times New Roman" w:cs="Times New Roman"/>
          <w:b/>
          <w:bCs/>
          <w:lang w:val="fr-FR"/>
        </w:rPr>
        <w:t xml:space="preserve">Projet d’Appui à l’Entreprenariat Féminin et à l’Expérimentation </w:t>
      </w:r>
      <w:r w:rsidR="00E52E86">
        <w:rPr>
          <w:rFonts w:ascii="Times New Roman" w:hAnsi="Times New Roman" w:cs="Times New Roman"/>
          <w:b/>
          <w:bCs/>
          <w:lang w:val="fr-FR"/>
        </w:rPr>
        <w:t>des solutions innovantes à fort impact économique et social</w:t>
      </w:r>
      <w:r w:rsidRPr="001A00C8">
        <w:rPr>
          <w:rFonts w:ascii="Times New Roman" w:hAnsi="Times New Roman" w:cs="Times New Roman"/>
          <w:b/>
          <w:bCs/>
          <w:lang w:val="fr-FR"/>
        </w:rPr>
        <w:t xml:space="preserve"> </w:t>
      </w:r>
    </w:p>
    <w:p w14:paraId="42112877" w14:textId="5C5DE31D" w:rsidR="00B164AB" w:rsidRDefault="00B164AB" w:rsidP="007A63C4">
      <w:pPr>
        <w:spacing w:after="0"/>
        <w:jc w:val="both"/>
        <w:rPr>
          <w:rFonts w:ascii="Times New Roman" w:hAnsi="Times New Roman" w:cs="Times New Roman"/>
          <w:lang w:val="fr-FR"/>
        </w:rPr>
      </w:pPr>
      <w:r w:rsidRPr="00947F09">
        <w:rPr>
          <w:rFonts w:ascii="Times New Roman" w:hAnsi="Times New Roman" w:cs="Times New Roman"/>
          <w:b/>
          <w:lang w:val="fr-FR"/>
        </w:rPr>
        <w:t>Titre du poste :</w:t>
      </w:r>
      <w:r>
        <w:rPr>
          <w:rFonts w:ascii="Times New Roman" w:hAnsi="Times New Roman" w:cs="Times New Roman"/>
          <w:b/>
          <w:lang w:val="fr-FR"/>
        </w:rPr>
        <w:t xml:space="preserve"> </w:t>
      </w:r>
      <w:r w:rsidR="00806F05">
        <w:rPr>
          <w:rFonts w:ascii="Times New Roman" w:hAnsi="Times New Roman" w:cs="Times New Roman"/>
          <w:lang w:val="fr-FR"/>
        </w:rPr>
        <w:t>R</w:t>
      </w:r>
      <w:r w:rsidR="00806F05" w:rsidRPr="00806F05">
        <w:rPr>
          <w:rFonts w:ascii="Times New Roman" w:hAnsi="Times New Roman" w:cs="Times New Roman"/>
          <w:lang w:val="fr-FR"/>
        </w:rPr>
        <w:t>ecrutement d’un(e) consultant(e) national(e) en charge de la réalisation d’une étude sur la sensibilité du secteur financier tchadien au genre</w:t>
      </w:r>
      <w:r w:rsidR="00806F05">
        <w:rPr>
          <w:rFonts w:ascii="Times New Roman" w:hAnsi="Times New Roman" w:cs="Times New Roman"/>
          <w:lang w:val="fr-FR"/>
        </w:rPr>
        <w:t xml:space="preserve"> </w:t>
      </w:r>
    </w:p>
    <w:p w14:paraId="486D2122" w14:textId="77777777" w:rsidR="00806F05" w:rsidRPr="00947F09" w:rsidRDefault="00806F05" w:rsidP="00B164AB">
      <w:pPr>
        <w:spacing w:after="0"/>
        <w:rPr>
          <w:rFonts w:ascii="Times New Roman" w:hAnsi="Times New Roman" w:cs="Times New Roman"/>
          <w:lang w:val="fr-FR"/>
        </w:rPr>
      </w:pPr>
    </w:p>
    <w:p w14:paraId="274A36EC" w14:textId="0064202B" w:rsidR="00B164AB" w:rsidRDefault="00B164AB" w:rsidP="00B164AB">
      <w:pPr>
        <w:shd w:val="clear" w:color="auto" w:fill="FFFFFF"/>
        <w:spacing w:after="0" w:line="240" w:lineRule="auto"/>
        <w:rPr>
          <w:rFonts w:ascii="Times New Roman" w:hAnsi="Times New Roman" w:cs="Times New Roman"/>
          <w:lang w:val="fr-FR"/>
        </w:rPr>
      </w:pPr>
      <w:r w:rsidRPr="00947F09">
        <w:rPr>
          <w:rFonts w:ascii="Times New Roman" w:hAnsi="Times New Roman" w:cs="Times New Roman"/>
          <w:b/>
          <w:lang w:val="fr-FR"/>
        </w:rPr>
        <w:t xml:space="preserve">Durée : </w:t>
      </w:r>
      <w:r w:rsidRPr="008072DB">
        <w:rPr>
          <w:rFonts w:ascii="Times New Roman" w:hAnsi="Times New Roman" w:cs="Times New Roman"/>
          <w:lang w:val="fr-FR"/>
        </w:rPr>
        <w:t xml:space="preserve">La mission est prévue pour une durée de </w:t>
      </w:r>
      <w:r>
        <w:rPr>
          <w:rFonts w:ascii="Times New Roman" w:hAnsi="Times New Roman" w:cs="Times New Roman"/>
          <w:lang w:val="fr-FR"/>
        </w:rPr>
        <w:t>trente</w:t>
      </w:r>
      <w:r w:rsidRPr="008072DB">
        <w:rPr>
          <w:rFonts w:ascii="Times New Roman" w:hAnsi="Times New Roman" w:cs="Times New Roman"/>
          <w:lang w:val="fr-FR"/>
        </w:rPr>
        <w:t xml:space="preserve"> (</w:t>
      </w:r>
      <w:r>
        <w:rPr>
          <w:rFonts w:ascii="Times New Roman" w:hAnsi="Times New Roman" w:cs="Times New Roman"/>
          <w:lang w:val="fr-FR"/>
        </w:rPr>
        <w:t>3</w:t>
      </w:r>
      <w:r w:rsidR="00806F05">
        <w:rPr>
          <w:rFonts w:ascii="Times New Roman" w:hAnsi="Times New Roman" w:cs="Times New Roman"/>
          <w:lang w:val="fr-FR"/>
        </w:rPr>
        <w:t>5</w:t>
      </w:r>
      <w:r w:rsidRPr="008072DB">
        <w:rPr>
          <w:rFonts w:ascii="Times New Roman" w:hAnsi="Times New Roman" w:cs="Times New Roman"/>
          <w:lang w:val="fr-FR"/>
        </w:rPr>
        <w:t xml:space="preserve">) jours ouvrables. </w:t>
      </w:r>
    </w:p>
    <w:p w14:paraId="6529BF78" w14:textId="77777777" w:rsidR="00B164AB" w:rsidRPr="008072DB" w:rsidRDefault="00B164AB" w:rsidP="00B164AB">
      <w:pPr>
        <w:shd w:val="clear" w:color="auto" w:fill="FFFFFF"/>
        <w:spacing w:after="0" w:line="240" w:lineRule="auto"/>
        <w:rPr>
          <w:rFonts w:ascii="Times New Roman" w:hAnsi="Times New Roman" w:cs="Times New Roman"/>
          <w:lang w:val="fr-FR"/>
        </w:rPr>
      </w:pPr>
    </w:p>
    <w:p w14:paraId="0DA3403B" w14:textId="77777777" w:rsidR="00B164AB" w:rsidRPr="00947F09" w:rsidRDefault="00B164AB" w:rsidP="00B164AB">
      <w:pPr>
        <w:tabs>
          <w:tab w:val="left" w:pos="2835"/>
        </w:tabs>
        <w:spacing w:after="120" w:line="259" w:lineRule="auto"/>
        <w:ind w:left="2694" w:hanging="2694"/>
        <w:jc w:val="both"/>
        <w:rPr>
          <w:rFonts w:ascii="Times New Roman" w:hAnsi="Times New Roman" w:cs="Times New Roman"/>
          <w:i/>
          <w:iCs/>
          <w:lang w:val="fr-FR"/>
        </w:rPr>
      </w:pPr>
      <w:r w:rsidRPr="00947F09">
        <w:rPr>
          <w:rFonts w:ascii="Times New Roman" w:hAnsi="Times New Roman" w:cs="Times New Roman"/>
          <w:b/>
          <w:lang w:val="fr-FR"/>
        </w:rPr>
        <w:t>Lieu d’affectation :</w:t>
      </w:r>
      <w:r w:rsidRPr="00947F09">
        <w:rPr>
          <w:rFonts w:ascii="Times New Roman" w:hAnsi="Times New Roman" w:cs="Times New Roman"/>
          <w:b/>
          <w:lang w:val="fr-FR"/>
        </w:rPr>
        <w:tab/>
        <w:t xml:space="preserve"> </w:t>
      </w:r>
      <w:r w:rsidRPr="00947F09">
        <w:rPr>
          <w:rFonts w:ascii="Times New Roman" w:hAnsi="Times New Roman" w:cs="Times New Roman"/>
          <w:lang w:val="fr-FR"/>
        </w:rPr>
        <w:t xml:space="preserve">N’Djamena  </w:t>
      </w:r>
    </w:p>
    <w:p w14:paraId="4AE3BE8C" w14:textId="77777777" w:rsidR="00B164AB" w:rsidRPr="00947F09" w:rsidRDefault="00B164AB" w:rsidP="00B164AB">
      <w:pPr>
        <w:tabs>
          <w:tab w:val="left" w:pos="1134"/>
        </w:tabs>
        <w:spacing w:after="120"/>
        <w:jc w:val="both"/>
        <w:outlineLvl w:val="5"/>
        <w:rPr>
          <w:rFonts w:ascii="Times New Roman" w:eastAsia="Times New Roman" w:hAnsi="Times New Roman" w:cs="Times New Roman"/>
          <w:b/>
          <w:i/>
          <w:lang w:val="fr-FR" w:eastAsia="en-GB"/>
        </w:rPr>
      </w:pPr>
      <w:r w:rsidRPr="00947F09">
        <w:rPr>
          <w:rFonts w:ascii="Times New Roman" w:eastAsia="Times New Roman" w:hAnsi="Times New Roman" w:cs="Times New Roman"/>
          <w:b/>
          <w:lang w:val="fr-FR" w:eastAsia="en-GB"/>
        </w:rPr>
        <w:t>Type de contrat :</w:t>
      </w:r>
      <w:r w:rsidRPr="00947F09">
        <w:rPr>
          <w:rFonts w:ascii="Times New Roman" w:eastAsia="Times New Roman" w:hAnsi="Times New Roman" w:cs="Times New Roman"/>
          <w:i/>
          <w:lang w:val="fr-FR" w:eastAsia="en-GB"/>
        </w:rPr>
        <w:tab/>
        <w:t xml:space="preserve">    </w:t>
      </w:r>
      <w:r>
        <w:rPr>
          <w:rFonts w:ascii="Times New Roman" w:eastAsia="Times New Roman" w:hAnsi="Times New Roman" w:cs="Times New Roman"/>
          <w:i/>
          <w:lang w:val="fr-FR" w:eastAsia="en-GB"/>
        </w:rPr>
        <w:t xml:space="preserve"> </w:t>
      </w:r>
      <w:r w:rsidRPr="00947F09">
        <w:rPr>
          <w:rFonts w:ascii="Times New Roman" w:eastAsia="Times New Roman" w:hAnsi="Times New Roman" w:cs="Times New Roman"/>
          <w:i/>
          <w:lang w:val="fr-FR" w:eastAsia="en-GB"/>
        </w:rPr>
        <w:t xml:space="preserve">     </w:t>
      </w:r>
      <w:r w:rsidRPr="00947F09">
        <w:rPr>
          <w:rFonts w:ascii="Times New Roman" w:eastAsia="Times New Roman" w:hAnsi="Times New Roman" w:cs="Times New Roman"/>
          <w:lang w:val="fr-FR" w:eastAsia="en-GB"/>
        </w:rPr>
        <w:t>Contrat Individuel</w:t>
      </w:r>
    </w:p>
    <w:p w14:paraId="1E11D3A8" w14:textId="3305F254" w:rsidR="00B164AB" w:rsidRPr="00947F09" w:rsidRDefault="00B164AB" w:rsidP="00B164AB">
      <w:pPr>
        <w:tabs>
          <w:tab w:val="left" w:pos="1134"/>
        </w:tabs>
        <w:spacing w:before="240" w:after="60"/>
        <w:jc w:val="both"/>
        <w:outlineLvl w:val="5"/>
        <w:rPr>
          <w:rFonts w:ascii="Times New Roman" w:eastAsia="Times New Roman" w:hAnsi="Times New Roman" w:cs="Times New Roman"/>
          <w:lang w:val="fr-FR" w:eastAsia="en-GB"/>
        </w:rPr>
      </w:pPr>
      <w:r w:rsidRPr="00947F09">
        <w:rPr>
          <w:rFonts w:ascii="Times New Roman" w:eastAsia="Times New Roman" w:hAnsi="Times New Roman" w:cs="Times New Roman"/>
          <w:b/>
          <w:lang w:val="fr-FR" w:eastAsia="en-GB"/>
        </w:rPr>
        <w:t>Date cible de début de la mission : </w:t>
      </w:r>
      <w:r w:rsidRPr="00947F09">
        <w:rPr>
          <w:rFonts w:ascii="Times New Roman" w:eastAsia="Times New Roman" w:hAnsi="Times New Roman" w:cs="Times New Roman"/>
          <w:b/>
          <w:i/>
          <w:lang w:val="fr-FR" w:eastAsia="en-GB"/>
        </w:rPr>
        <w:t xml:space="preserve"> </w:t>
      </w:r>
      <w:r w:rsidR="00806F05">
        <w:rPr>
          <w:rFonts w:ascii="Times New Roman" w:eastAsia="Times New Roman" w:hAnsi="Times New Roman" w:cs="Times New Roman"/>
          <w:b/>
          <w:iCs/>
          <w:lang w:val="fr-FR" w:eastAsia="en-GB"/>
        </w:rPr>
        <w:t>04</w:t>
      </w:r>
      <w:r>
        <w:rPr>
          <w:rFonts w:ascii="Times New Roman" w:eastAsia="Times New Roman" w:hAnsi="Times New Roman" w:cs="Times New Roman"/>
          <w:b/>
          <w:iCs/>
          <w:lang w:val="fr-FR" w:eastAsia="en-GB"/>
        </w:rPr>
        <w:t xml:space="preserve"> </w:t>
      </w:r>
      <w:r w:rsidR="00806F05">
        <w:rPr>
          <w:rFonts w:ascii="Times New Roman" w:eastAsia="Times New Roman" w:hAnsi="Times New Roman" w:cs="Times New Roman"/>
          <w:b/>
          <w:iCs/>
          <w:lang w:val="fr-FR" w:eastAsia="en-GB"/>
        </w:rPr>
        <w:t>juillet</w:t>
      </w:r>
      <w:r w:rsidRPr="00947F09">
        <w:rPr>
          <w:rFonts w:ascii="Times New Roman" w:eastAsia="Times New Roman" w:hAnsi="Times New Roman" w:cs="Times New Roman"/>
          <w:b/>
          <w:iCs/>
          <w:lang w:val="fr-FR" w:eastAsia="en-GB"/>
        </w:rPr>
        <w:t xml:space="preserve"> </w:t>
      </w:r>
      <w:r w:rsidRPr="00947F09">
        <w:rPr>
          <w:rFonts w:ascii="Times New Roman" w:eastAsia="Times New Roman" w:hAnsi="Times New Roman" w:cs="Times New Roman"/>
          <w:b/>
          <w:bCs/>
          <w:lang w:val="fr-FR" w:eastAsia="en-GB"/>
        </w:rPr>
        <w:t>202</w:t>
      </w:r>
      <w:r>
        <w:rPr>
          <w:rFonts w:ascii="Times New Roman" w:eastAsia="Times New Roman" w:hAnsi="Times New Roman" w:cs="Times New Roman"/>
          <w:b/>
          <w:bCs/>
          <w:lang w:val="fr-FR" w:eastAsia="en-GB"/>
        </w:rPr>
        <w:t>2</w:t>
      </w:r>
    </w:p>
    <w:p w14:paraId="2CF1A2DB" w14:textId="77777777" w:rsidR="00B164AB" w:rsidRPr="00947F09" w:rsidRDefault="00B164AB" w:rsidP="00B164AB">
      <w:pPr>
        <w:spacing w:before="120" w:after="120"/>
        <w:jc w:val="both"/>
        <w:rPr>
          <w:rFonts w:ascii="Times New Roman" w:hAnsi="Times New Roman" w:cs="Times New Roman"/>
          <w:color w:val="000000"/>
          <w:lang w:val="fr-FR"/>
        </w:rPr>
      </w:pPr>
      <w:r w:rsidRPr="00947F09">
        <w:rPr>
          <w:rFonts w:ascii="Times New Roman" w:hAnsi="Times New Roman" w:cs="Times New Roman"/>
          <w:noProof/>
          <w:lang w:val="fr-FR"/>
        </w:rPr>
        <mc:AlternateContent>
          <mc:Choice Requires="wps">
            <w:drawing>
              <wp:anchor distT="4294967293" distB="4294967293" distL="114300" distR="114300" simplePos="0" relativeHeight="251661312" behindDoc="0" locked="0" layoutInCell="1" allowOverlap="1" wp14:anchorId="544415E4" wp14:editId="5308A1C5">
                <wp:simplePos x="0" y="0"/>
                <wp:positionH relativeFrom="column">
                  <wp:posOffset>-185420</wp:posOffset>
                </wp:positionH>
                <wp:positionV relativeFrom="paragraph">
                  <wp:posOffset>121284</wp:posOffset>
                </wp:positionV>
                <wp:extent cx="6638925" cy="0"/>
                <wp:effectExtent l="0" t="1905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7589" id="AutoShape 3" o:spid="_x0000_s1026" type="#_x0000_t32" style="position:absolute;margin-left:-14.6pt;margin-top:9.55pt;width:522.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" strokecolor="blue" strokeweight="4.5pt">
                <o:lock v:ext="edit" shapetype="f"/>
              </v:shape>
            </w:pict>
          </mc:Fallback>
        </mc:AlternateContent>
      </w:r>
      <w:r w:rsidRPr="00947F09">
        <w:rPr>
          <w:rFonts w:ascii="Times New Roman" w:hAnsi="Times New Roman" w:cs="Times New Roman"/>
          <w:color w:val="000000"/>
          <w:lang w:val="fr-FR"/>
        </w:rPr>
        <w:t xml:space="preserve"> </w:t>
      </w:r>
    </w:p>
    <w:p w14:paraId="64B6CB26" w14:textId="6BADE812" w:rsidR="00B164AB" w:rsidRPr="00947F09" w:rsidRDefault="00B164AB" w:rsidP="00B164AB">
      <w:pPr>
        <w:tabs>
          <w:tab w:val="left" w:pos="1410"/>
        </w:tabs>
        <w:spacing w:before="120" w:after="120"/>
        <w:jc w:val="both"/>
        <w:rPr>
          <w:rFonts w:ascii="Times New Roman" w:hAnsi="Times New Roman" w:cs="Times New Roman"/>
          <w:color w:val="000000"/>
          <w:lang w:val="fr-FR"/>
        </w:rPr>
      </w:pPr>
      <w:r w:rsidRPr="00947F09">
        <w:rPr>
          <w:rFonts w:ascii="Times New Roman" w:hAnsi="Times New Roman" w:cs="Times New Roman"/>
          <w:color w:val="000000"/>
          <w:lang w:val="fr-FR"/>
        </w:rPr>
        <w:t>Les candidats intéressés sont invités à soumettre leurs offres (technique et financière) de service par courriel en fichiers séparés conjointement à l’adresse suivante :</w:t>
      </w:r>
      <w:r w:rsidR="00806F05">
        <w:rPr>
          <w:rFonts w:ascii="Times New Roman" w:hAnsi="Times New Roman" w:cs="Times New Roman"/>
          <w:color w:val="000000"/>
          <w:lang w:val="fr-FR"/>
        </w:rPr>
        <w:t xml:space="preserve"> </w:t>
      </w:r>
      <w:hyperlink r:id="rId8" w:history="1">
        <w:r w:rsidR="00806F05" w:rsidRPr="0048206D">
          <w:rPr>
            <w:rStyle w:val="Lienhypertexte"/>
            <w:rFonts w:ascii="Times New Roman" w:hAnsi="Times New Roman" w:cs="Times New Roman"/>
            <w:lang w:val="fr-FR"/>
          </w:rPr>
          <w:t>procurement.td@undp.org</w:t>
        </w:r>
      </w:hyperlink>
      <w:r w:rsidR="00806F05">
        <w:rPr>
          <w:rFonts w:ascii="Times New Roman" w:hAnsi="Times New Roman" w:cs="Times New Roman"/>
          <w:color w:val="000000"/>
          <w:lang w:val="fr-FR"/>
        </w:rPr>
        <w:t xml:space="preserve"> </w:t>
      </w:r>
      <w:r w:rsidRPr="00947F09">
        <w:rPr>
          <w:rFonts w:ascii="Times New Roman" w:hAnsi="Times New Roman" w:cs="Times New Roman"/>
          <w:color w:val="000000"/>
          <w:lang w:val="fr-FR"/>
        </w:rPr>
        <w:t>au plus tard le</w:t>
      </w:r>
      <w:r>
        <w:rPr>
          <w:rFonts w:ascii="Times New Roman" w:hAnsi="Times New Roman" w:cs="Times New Roman"/>
          <w:color w:val="000000"/>
          <w:lang w:val="fr-FR"/>
        </w:rPr>
        <w:t xml:space="preserve"> </w:t>
      </w:r>
      <w:r w:rsidR="0052371F">
        <w:rPr>
          <w:rFonts w:ascii="Times New Roman" w:hAnsi="Times New Roman" w:cs="Times New Roman"/>
          <w:color w:val="000000"/>
          <w:lang w:val="fr-FR"/>
        </w:rPr>
        <w:t>lundi</w:t>
      </w:r>
      <w:r w:rsidRPr="00947F09">
        <w:rPr>
          <w:rFonts w:ascii="Times New Roman" w:hAnsi="Times New Roman" w:cs="Times New Roman"/>
          <w:color w:val="000000"/>
          <w:lang w:val="fr-FR"/>
        </w:rPr>
        <w:t xml:space="preserve"> </w:t>
      </w:r>
      <w:r w:rsidR="0052371F">
        <w:rPr>
          <w:rFonts w:ascii="Times New Roman" w:hAnsi="Times New Roman" w:cs="Times New Roman"/>
          <w:color w:val="000000"/>
          <w:lang w:val="fr-FR"/>
        </w:rPr>
        <w:t>27</w:t>
      </w:r>
      <w:r>
        <w:rPr>
          <w:rFonts w:ascii="Times New Roman" w:hAnsi="Times New Roman" w:cs="Times New Roman"/>
          <w:color w:val="000000"/>
          <w:lang w:val="fr-FR"/>
        </w:rPr>
        <w:t xml:space="preserve"> </w:t>
      </w:r>
      <w:r w:rsidR="0052371F">
        <w:rPr>
          <w:rFonts w:ascii="Times New Roman" w:hAnsi="Times New Roman" w:cs="Times New Roman"/>
          <w:color w:val="000000"/>
          <w:lang w:val="fr-FR"/>
        </w:rPr>
        <w:t>juin</w:t>
      </w:r>
      <w:r>
        <w:rPr>
          <w:rFonts w:ascii="Times New Roman" w:hAnsi="Times New Roman" w:cs="Times New Roman"/>
          <w:color w:val="000000"/>
          <w:lang w:val="fr-FR"/>
        </w:rPr>
        <w:t xml:space="preserve"> </w:t>
      </w:r>
      <w:r w:rsidRPr="00947F09">
        <w:rPr>
          <w:rFonts w:ascii="Times New Roman" w:hAnsi="Times New Roman" w:cs="Times New Roman"/>
          <w:color w:val="000000"/>
          <w:lang w:val="fr-FR"/>
        </w:rPr>
        <w:t>202</w:t>
      </w:r>
      <w:r>
        <w:rPr>
          <w:rFonts w:ascii="Times New Roman" w:hAnsi="Times New Roman" w:cs="Times New Roman"/>
          <w:color w:val="000000"/>
          <w:lang w:val="fr-FR"/>
        </w:rPr>
        <w:t>2</w:t>
      </w:r>
      <w:r w:rsidRPr="00947F09">
        <w:rPr>
          <w:rFonts w:ascii="Times New Roman" w:hAnsi="Times New Roman" w:cs="Times New Roman"/>
          <w:color w:val="000000"/>
          <w:lang w:val="fr-FR"/>
        </w:rPr>
        <w:t xml:space="preserve"> à 12 heures précises, heure de N’Djaména, en indiquant la référence </w:t>
      </w:r>
      <w:r w:rsidRPr="001A00C8">
        <w:rPr>
          <w:rFonts w:ascii="Times New Roman" w:eastAsia="Times New Roman" w:hAnsi="Times New Roman" w:cs="Times New Roman"/>
          <w:b/>
          <w:bCs/>
          <w:lang w:val="fr-FR"/>
        </w:rPr>
        <w:t>IC/TCD10/2022/0</w:t>
      </w:r>
      <w:r w:rsidR="0052371F">
        <w:rPr>
          <w:rFonts w:ascii="Times New Roman" w:eastAsia="Times New Roman" w:hAnsi="Times New Roman" w:cs="Times New Roman"/>
          <w:b/>
          <w:bCs/>
          <w:lang w:val="fr-FR"/>
        </w:rPr>
        <w:t>6</w:t>
      </w:r>
      <w:r w:rsidRPr="001A00C8">
        <w:rPr>
          <w:rFonts w:ascii="Times New Roman" w:eastAsia="Times New Roman" w:hAnsi="Times New Roman" w:cs="Times New Roman"/>
          <w:b/>
          <w:bCs/>
          <w:lang w:val="fr-FR"/>
        </w:rPr>
        <w:t>/0</w:t>
      </w:r>
      <w:r w:rsidR="00C06A42">
        <w:rPr>
          <w:rFonts w:ascii="Times New Roman" w:eastAsia="Times New Roman" w:hAnsi="Times New Roman" w:cs="Times New Roman"/>
          <w:b/>
          <w:bCs/>
          <w:lang w:val="fr-FR"/>
        </w:rPr>
        <w:t>21</w:t>
      </w:r>
      <w:r w:rsidRPr="00947F09">
        <w:rPr>
          <w:rFonts w:ascii="Times New Roman" w:hAnsi="Times New Roman" w:cs="Times New Roman"/>
          <w:color w:val="000000"/>
          <w:lang w:val="fr-FR"/>
        </w:rPr>
        <w:t xml:space="preserve"> (Si cette référence n’est pas indiquée en objet de votre mail, votre offre ne peut être considérée).</w:t>
      </w:r>
    </w:p>
    <w:p w14:paraId="539C4F83" w14:textId="77777777" w:rsidR="00B164AB" w:rsidRPr="00947F09" w:rsidRDefault="00B164AB" w:rsidP="00B164AB">
      <w:pPr>
        <w:ind w:right="1"/>
        <w:jc w:val="both"/>
        <w:rPr>
          <w:rFonts w:ascii="Times New Roman" w:hAnsi="Times New Roman" w:cs="Times New Roman"/>
          <w:lang w:val="fr-FR"/>
        </w:rPr>
      </w:pPr>
      <w:r w:rsidRPr="00947F09">
        <w:rPr>
          <w:rFonts w:ascii="Times New Roman" w:hAnsi="Times New Roman" w:cs="Times New Roman"/>
          <w:color w:val="000000"/>
          <w:lang w:val="fr-FR"/>
        </w:rPr>
        <w:t>Les demandes de clarification pourront être envoyées à la même adresse ci-dessus précisée.</w:t>
      </w:r>
    </w:p>
    <w:p w14:paraId="2EA34535" w14:textId="77777777" w:rsidR="00B164AB" w:rsidRPr="00947F09" w:rsidRDefault="00B164AB" w:rsidP="00B164AB">
      <w:pPr>
        <w:jc w:val="both"/>
        <w:rPr>
          <w:rFonts w:ascii="Times New Roman" w:hAnsi="Times New Roman" w:cs="Times New Roman"/>
          <w:b/>
          <w:lang w:val="fr-FR"/>
        </w:rPr>
      </w:pPr>
      <w:r w:rsidRPr="00947F09">
        <w:rPr>
          <w:rFonts w:ascii="Times New Roman" w:hAnsi="Times New Roman" w:cs="Times New Roman"/>
          <w:noProof/>
          <w:lang w:val="fr-FR"/>
        </w:rPr>
        <mc:AlternateContent>
          <mc:Choice Requires="wps">
            <w:drawing>
              <wp:anchor distT="4294967293" distB="4294967293" distL="114300" distR="114300" simplePos="0" relativeHeight="251662336" behindDoc="0" locked="0" layoutInCell="1" allowOverlap="1" wp14:anchorId="0D32E985" wp14:editId="75355CD1">
                <wp:simplePos x="0" y="0"/>
                <wp:positionH relativeFrom="column">
                  <wp:posOffset>-299720</wp:posOffset>
                </wp:positionH>
                <wp:positionV relativeFrom="paragraph">
                  <wp:posOffset>158749</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6BC52" id="AutoShape 3" o:spid="_x0000_s1026" type="#_x0000_t32" style="position:absolute;margin-left:-23.6pt;margin-top:12.5pt;width:52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" strokecolor="blue" strokeweight="4.5pt">
                <o:lock v:ext="edit" shapetype="f"/>
              </v:shape>
            </w:pict>
          </mc:Fallback>
        </mc:AlternateContent>
      </w:r>
    </w:p>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B164AB" w:rsidRPr="007A63C4" w14:paraId="22ED8036" w14:textId="77777777" w:rsidTr="009C03C6">
        <w:trPr>
          <w:trHeight w:val="1691"/>
          <w:jc w:val="center"/>
        </w:trPr>
        <w:tc>
          <w:tcPr>
            <w:tcW w:w="5000" w:type="pct"/>
          </w:tcPr>
          <w:p w14:paraId="48A2DC51" w14:textId="77777777" w:rsidR="00B164AB" w:rsidRDefault="00B164AB" w:rsidP="00B164AB">
            <w:pPr>
              <w:pStyle w:val="Corpsdetexte"/>
              <w:numPr>
                <w:ilvl w:val="0"/>
                <w:numId w:val="9"/>
              </w:numPr>
              <w:spacing w:before="60" w:after="60" w:line="252" w:lineRule="auto"/>
              <w:jc w:val="both"/>
              <w:rPr>
                <w:rFonts w:ascii="Arial Narrow" w:hAnsi="Arial Narrow"/>
                <w:b/>
                <w:bCs/>
                <w:sz w:val="22"/>
                <w:szCs w:val="22"/>
                <w:lang w:val="fr-FR"/>
              </w:rPr>
            </w:pPr>
            <w:r w:rsidRPr="009E7090">
              <w:rPr>
                <w:rFonts w:ascii="Arial Narrow" w:hAnsi="Arial Narrow"/>
                <w:b/>
                <w:bCs/>
                <w:sz w:val="22"/>
                <w:szCs w:val="22"/>
                <w:lang w:val="fr-FR"/>
              </w:rPr>
              <w:t xml:space="preserve">Contexte et justification </w:t>
            </w:r>
          </w:p>
          <w:p w14:paraId="0E540AAA" w14:textId="77777777" w:rsidR="0052371F" w:rsidRDefault="0052371F" w:rsidP="0052371F">
            <w:pPr>
              <w:tabs>
                <w:tab w:val="left" w:pos="284"/>
                <w:tab w:val="left" w:pos="426"/>
              </w:tabs>
              <w:spacing w:before="120" w:after="120"/>
              <w:jc w:val="both"/>
              <w:rPr>
                <w:rFonts w:ascii="Arial Narrow" w:hAnsi="Arial Narrow" w:cs="Arial"/>
                <w:color w:val="000000"/>
                <w:sz w:val="24"/>
                <w:szCs w:val="24"/>
                <w:lang w:val="fr-FR"/>
              </w:rPr>
            </w:pPr>
            <w:r>
              <w:rPr>
                <w:rFonts w:ascii="Arial Narrow" w:hAnsi="Arial Narrow" w:cs="Arial"/>
                <w:color w:val="000000"/>
                <w:sz w:val="24"/>
                <w:szCs w:val="24"/>
                <w:lang w:val="fr-FR"/>
              </w:rPr>
              <w:t xml:space="preserve">A l’instar des autres pays en développement, le Tchad présente un faible niveau de développement financier. Bien que l’offre des services financiers ait augmenté ces deux dernières décennies avec l’accroissement de la taille des établissements financiers et leur expansion géographique, la demande est limitée par des facteurs socioéconomiques. Ainsi, l’inclusion financière, mesurée par la proportion des individus et entreprises qui utilisent des </w:t>
            </w:r>
            <w:r w:rsidRPr="00861ACF">
              <w:rPr>
                <w:rFonts w:ascii="Arial Narrow" w:hAnsi="Arial Narrow" w:cs="Arial"/>
                <w:color w:val="000000"/>
                <w:sz w:val="24"/>
                <w:szCs w:val="24"/>
                <w:lang w:val="fr-FR"/>
              </w:rPr>
              <w:t>services financiers (crédit, épargne, paiements, assurance)</w:t>
            </w:r>
            <w:r>
              <w:rPr>
                <w:rFonts w:ascii="Arial Narrow" w:hAnsi="Arial Narrow" w:cs="Arial"/>
                <w:color w:val="000000"/>
                <w:sz w:val="24"/>
                <w:szCs w:val="24"/>
                <w:lang w:val="fr-FR"/>
              </w:rPr>
              <w:t>, est estimé à environ 9% au Tchad contre 15,7% en Afrique sub-Saharienne (AFD, 2014)</w:t>
            </w:r>
            <w:r w:rsidRPr="00861ACF">
              <w:rPr>
                <w:rFonts w:ascii="Arial Narrow" w:hAnsi="Arial Narrow" w:cs="Arial"/>
                <w:color w:val="000000"/>
                <w:sz w:val="24"/>
                <w:szCs w:val="24"/>
                <w:lang w:val="fr-FR"/>
              </w:rPr>
              <w:t xml:space="preserve">. </w:t>
            </w:r>
            <w:r>
              <w:rPr>
                <w:rFonts w:ascii="Arial Narrow" w:hAnsi="Arial Narrow" w:cs="Arial"/>
                <w:color w:val="000000"/>
                <w:sz w:val="24"/>
                <w:szCs w:val="24"/>
                <w:lang w:val="fr-FR"/>
              </w:rPr>
              <w:t>Il en résulte un faible financement de l’économie par le système financier car le taux de financement du secteur privé par le système bancaire est de 9,2% du PIB au Tchad, alors qu’il est de 26,0% du PIB pour l’Afrique sub-Saharienne en 2019 (WDI, 2019).</w:t>
            </w:r>
          </w:p>
          <w:p w14:paraId="4929C5DE" w14:textId="31201908" w:rsidR="0052371F" w:rsidRDefault="0052371F" w:rsidP="0052371F">
            <w:pPr>
              <w:tabs>
                <w:tab w:val="left" w:pos="284"/>
                <w:tab w:val="left" w:pos="426"/>
              </w:tabs>
              <w:spacing w:before="120" w:after="120"/>
              <w:jc w:val="both"/>
              <w:rPr>
                <w:rFonts w:ascii="Arial Narrow" w:hAnsi="Arial Narrow" w:cs="Arial"/>
                <w:color w:val="000000"/>
                <w:sz w:val="24"/>
                <w:szCs w:val="24"/>
                <w:lang w:val="fr-FR"/>
              </w:rPr>
            </w:pPr>
            <w:r>
              <w:rPr>
                <w:rFonts w:ascii="Arial Narrow" w:hAnsi="Arial Narrow" w:cs="Arial"/>
                <w:color w:val="000000"/>
                <w:sz w:val="24"/>
                <w:szCs w:val="24"/>
                <w:lang w:val="fr-FR"/>
              </w:rPr>
              <w:t xml:space="preserve">En outre, l’analyse des facteurs limitant la demande des services financiers montrent que certaines couches sociales sont exclues du système financier. En particulier, les populations rurales, les personnes </w:t>
            </w:r>
            <w:r w:rsidR="00E52E86">
              <w:rPr>
                <w:rFonts w:ascii="Arial Narrow" w:hAnsi="Arial Narrow" w:cs="Arial"/>
                <w:color w:val="000000"/>
                <w:sz w:val="24"/>
                <w:szCs w:val="24"/>
                <w:lang w:val="fr-FR"/>
              </w:rPr>
              <w:lastRenderedPageBreak/>
              <w:t>ayant un faible niveau d’éducation</w:t>
            </w:r>
            <w:r>
              <w:rPr>
                <w:rFonts w:ascii="Arial Narrow" w:hAnsi="Arial Narrow" w:cs="Arial"/>
                <w:color w:val="000000"/>
                <w:sz w:val="24"/>
                <w:szCs w:val="24"/>
                <w:lang w:val="fr-FR"/>
              </w:rPr>
              <w:t xml:space="preserve"> et les femmes sont les catégories qui ont le moins accès aux services financiers (</w:t>
            </w:r>
            <w:proofErr w:type="spellStart"/>
            <w:r w:rsidRPr="00861ACF">
              <w:rPr>
                <w:rFonts w:ascii="Arial Narrow" w:hAnsi="Arial Narrow" w:cs="Arial"/>
                <w:color w:val="000000"/>
                <w:sz w:val="24"/>
                <w:szCs w:val="24"/>
                <w:lang w:val="fr-FR"/>
              </w:rPr>
              <w:t>Demirguc-Kunt</w:t>
            </w:r>
            <w:proofErr w:type="spellEnd"/>
            <w:r w:rsidRPr="00861ACF">
              <w:rPr>
                <w:rFonts w:ascii="Arial Narrow" w:hAnsi="Arial Narrow" w:cs="Arial"/>
                <w:color w:val="000000"/>
                <w:sz w:val="24"/>
                <w:szCs w:val="24"/>
                <w:lang w:val="fr-FR"/>
              </w:rPr>
              <w:t xml:space="preserve"> et </w:t>
            </w:r>
            <w:proofErr w:type="spellStart"/>
            <w:r w:rsidRPr="00861ACF">
              <w:rPr>
                <w:rFonts w:ascii="Arial Narrow" w:hAnsi="Arial Narrow" w:cs="Arial"/>
                <w:color w:val="000000"/>
                <w:sz w:val="24"/>
                <w:szCs w:val="24"/>
                <w:lang w:val="fr-FR"/>
              </w:rPr>
              <w:t>Klapper</w:t>
            </w:r>
            <w:proofErr w:type="spellEnd"/>
            <w:r>
              <w:rPr>
                <w:rFonts w:ascii="Arial Narrow" w:hAnsi="Arial Narrow" w:cs="Arial"/>
                <w:color w:val="000000"/>
                <w:sz w:val="24"/>
                <w:szCs w:val="24"/>
                <w:lang w:val="fr-FR"/>
              </w:rPr>
              <w:t xml:space="preserve">, 2012). </w:t>
            </w:r>
          </w:p>
          <w:p w14:paraId="6298B2A2" w14:textId="77777777" w:rsidR="0052371F" w:rsidRDefault="0052371F" w:rsidP="0052371F">
            <w:pPr>
              <w:tabs>
                <w:tab w:val="left" w:pos="284"/>
                <w:tab w:val="left" w:pos="426"/>
              </w:tabs>
              <w:spacing w:before="120" w:after="120"/>
              <w:jc w:val="both"/>
              <w:rPr>
                <w:rFonts w:ascii="Arial Narrow" w:hAnsi="Arial Narrow" w:cs="Arial"/>
                <w:color w:val="000000"/>
                <w:sz w:val="24"/>
                <w:szCs w:val="24"/>
                <w:lang w:val="fr-FR"/>
              </w:rPr>
            </w:pPr>
            <w:r>
              <w:rPr>
                <w:rFonts w:ascii="Arial Narrow" w:hAnsi="Arial Narrow" w:cs="Arial"/>
                <w:color w:val="000000"/>
                <w:sz w:val="24"/>
                <w:szCs w:val="24"/>
                <w:lang w:val="fr-FR"/>
              </w:rPr>
              <w:t>En ce qui concerne l’égalité entre les hommes et les femmes en matière d’accès aux services financiers, les données de l’</w:t>
            </w:r>
            <w:r w:rsidRPr="00F27C3C">
              <w:rPr>
                <w:rFonts w:ascii="Arial Narrow" w:hAnsi="Arial Narrow" w:cs="Arial"/>
                <w:color w:val="000000"/>
                <w:sz w:val="24"/>
                <w:szCs w:val="24"/>
                <w:lang w:val="fr-FR"/>
              </w:rPr>
              <w:t xml:space="preserve">enquête de </w:t>
            </w:r>
            <w:proofErr w:type="spellStart"/>
            <w:r w:rsidRPr="00F27C3C">
              <w:rPr>
                <w:rFonts w:ascii="Arial Narrow" w:hAnsi="Arial Narrow" w:cs="Arial"/>
                <w:color w:val="000000"/>
                <w:sz w:val="24"/>
                <w:szCs w:val="24"/>
                <w:lang w:val="fr-FR"/>
              </w:rPr>
              <w:t>Demirguc-Kunt</w:t>
            </w:r>
            <w:proofErr w:type="spellEnd"/>
            <w:r w:rsidRPr="00F27C3C">
              <w:rPr>
                <w:rFonts w:ascii="Arial Narrow" w:hAnsi="Arial Narrow" w:cs="Arial"/>
                <w:color w:val="000000"/>
                <w:sz w:val="24"/>
                <w:szCs w:val="24"/>
                <w:lang w:val="fr-FR"/>
              </w:rPr>
              <w:t xml:space="preserve"> et </w:t>
            </w:r>
            <w:proofErr w:type="spellStart"/>
            <w:r w:rsidRPr="00F27C3C">
              <w:rPr>
                <w:rFonts w:ascii="Arial Narrow" w:hAnsi="Arial Narrow" w:cs="Arial"/>
                <w:color w:val="000000"/>
                <w:sz w:val="24"/>
                <w:szCs w:val="24"/>
                <w:lang w:val="fr-FR"/>
              </w:rPr>
              <w:t>Klapper</w:t>
            </w:r>
            <w:proofErr w:type="spellEnd"/>
            <w:r w:rsidRPr="00F27C3C">
              <w:rPr>
                <w:rFonts w:ascii="Arial Narrow" w:hAnsi="Arial Narrow" w:cs="Arial"/>
                <w:color w:val="000000"/>
                <w:sz w:val="24"/>
                <w:szCs w:val="24"/>
                <w:lang w:val="fr-FR"/>
              </w:rPr>
              <w:t xml:space="preserve"> (2012)</w:t>
            </w:r>
            <w:r>
              <w:rPr>
                <w:rFonts w:ascii="Arial Narrow" w:hAnsi="Arial Narrow" w:cs="Arial"/>
                <w:color w:val="000000"/>
                <w:sz w:val="24"/>
                <w:szCs w:val="24"/>
                <w:lang w:val="fr-FR"/>
              </w:rPr>
              <w:t xml:space="preserve"> montrent que le taux de bancarisation est de 11,5% chez les hommes contre 6,8% chez les femmes. En plus, en raison des pesanteurs socioculturelles qui limitent l’accès des femmes aux actifs productifs, elles ont souvent un accès limité au crédit bancaire que les hommes. Surtout que d’après les données d’ECOSIT 4 (2019), les besoins en financement des ménages sont satisfaits en majeur partie par les </w:t>
            </w:r>
            <w:r w:rsidRPr="00070264">
              <w:rPr>
                <w:rFonts w:ascii="Arial Narrow" w:hAnsi="Arial Narrow" w:cs="Arial"/>
                <w:color w:val="000000"/>
                <w:sz w:val="24"/>
                <w:szCs w:val="24"/>
                <w:lang w:val="fr-FR"/>
              </w:rPr>
              <w:t>ménages (65,8%), suivis des tontines et associations (9,3%), des fournisseurs (7,9%), de la caisse rurale (7,0%) et de la banque (5,3%).</w:t>
            </w:r>
            <w:r>
              <w:rPr>
                <w:rFonts w:ascii="Arial Narrow" w:hAnsi="Arial Narrow" w:cs="Arial"/>
                <w:color w:val="000000"/>
                <w:sz w:val="24"/>
                <w:szCs w:val="24"/>
                <w:lang w:val="fr-FR"/>
              </w:rPr>
              <w:t xml:space="preserve"> Par ailleurs, elles sont moins nombreuses à être propriétaires d’entreprises formelles, limitant les possibilités d’avoir accès au crédit bancaire en tant qu’opératrices économiques. En effet, </w:t>
            </w:r>
            <w:r w:rsidRPr="00A62A9B">
              <w:rPr>
                <w:rFonts w:ascii="Arial Narrow" w:hAnsi="Arial Narrow" w:cs="Arial"/>
                <w:color w:val="000000"/>
                <w:sz w:val="24"/>
                <w:szCs w:val="24"/>
                <w:lang w:val="fr-FR"/>
              </w:rPr>
              <w:t>les femmes détiennent la plupart des 72,2% des entreprises informelles que compte le pays</w:t>
            </w:r>
            <w:r>
              <w:rPr>
                <w:rFonts w:ascii="Arial Narrow" w:hAnsi="Arial Narrow" w:cs="Arial"/>
                <w:color w:val="000000"/>
                <w:sz w:val="24"/>
                <w:szCs w:val="24"/>
                <w:lang w:val="fr-FR"/>
              </w:rPr>
              <w:t xml:space="preserve"> (ECOSIT 4, 2019)</w:t>
            </w:r>
            <w:r w:rsidRPr="00A62A9B">
              <w:rPr>
                <w:rFonts w:ascii="Arial Narrow" w:hAnsi="Arial Narrow" w:cs="Arial"/>
                <w:color w:val="000000"/>
                <w:sz w:val="24"/>
                <w:szCs w:val="24"/>
                <w:lang w:val="fr-FR"/>
              </w:rPr>
              <w:t>.</w:t>
            </w:r>
            <w:r>
              <w:rPr>
                <w:rFonts w:ascii="Arial Narrow" w:hAnsi="Arial Narrow" w:cs="Arial"/>
                <w:color w:val="000000"/>
                <w:sz w:val="24"/>
                <w:szCs w:val="24"/>
                <w:lang w:val="fr-FR"/>
              </w:rPr>
              <w:t xml:space="preserve"> Ainsi, seules les institutions de microfinance, en raison de la flexibilité de leur politique de crédit, constituent le principal guichet de financement des initiatives portées par les femmes. Toutefois, il convient de signaler qu’il s’agit des financements à faible montant et à court-terme. </w:t>
            </w:r>
          </w:p>
          <w:p w14:paraId="1709DAA7" w14:textId="77777777" w:rsidR="0052371F" w:rsidRDefault="0052371F" w:rsidP="0052371F">
            <w:pPr>
              <w:tabs>
                <w:tab w:val="left" w:pos="284"/>
                <w:tab w:val="left" w:pos="426"/>
              </w:tabs>
              <w:spacing w:before="120" w:after="120"/>
              <w:jc w:val="both"/>
              <w:rPr>
                <w:rFonts w:ascii="Arial Narrow" w:hAnsi="Arial Narrow" w:cs="Arial"/>
                <w:color w:val="000000"/>
                <w:sz w:val="24"/>
                <w:szCs w:val="24"/>
                <w:lang w:val="fr-FR"/>
              </w:rPr>
            </w:pPr>
            <w:r>
              <w:rPr>
                <w:rFonts w:ascii="Arial Narrow" w:hAnsi="Arial Narrow" w:cs="Arial"/>
                <w:color w:val="000000"/>
                <w:sz w:val="24"/>
                <w:szCs w:val="24"/>
                <w:lang w:val="fr-FR"/>
              </w:rPr>
              <w:t xml:space="preserve">Cette situation n’est pas sans conséquences sur l’atteinte de l’ODD 5 et en particulier sur le processus d’autonomisation économique des femmes, du fait que </w:t>
            </w:r>
            <w:r w:rsidRPr="00F05FCF">
              <w:rPr>
                <w:rFonts w:ascii="Arial Narrow" w:hAnsi="Arial Narrow" w:cs="Arial"/>
                <w:color w:val="000000"/>
                <w:sz w:val="24"/>
                <w:szCs w:val="24"/>
                <w:lang w:val="fr-FR"/>
              </w:rPr>
              <w:t>l’inclusion financière joue un rôle déterminant dans la réduction de l’extrême pauvreté, la stimulation de la prospérité partagée et le soutien d’un développement inclusif et durable</w:t>
            </w:r>
            <w:r>
              <w:rPr>
                <w:rFonts w:ascii="Arial Narrow" w:hAnsi="Arial Narrow" w:cs="Arial"/>
                <w:color w:val="000000"/>
                <w:sz w:val="24"/>
                <w:szCs w:val="24"/>
                <w:lang w:val="fr-FR"/>
              </w:rPr>
              <w:t xml:space="preserve"> (Banque mondiale, 2014).</w:t>
            </w:r>
          </w:p>
          <w:p w14:paraId="3B9A20EA" w14:textId="7015FE6C" w:rsidR="00B164AB" w:rsidRPr="00AE0D4C" w:rsidRDefault="0052371F" w:rsidP="0052371F">
            <w:pPr>
              <w:pStyle w:val="Corpsdetexte"/>
              <w:spacing w:before="60" w:after="60" w:line="252" w:lineRule="auto"/>
              <w:jc w:val="both"/>
              <w:rPr>
                <w:rFonts w:ascii="Arial Narrow" w:hAnsi="Arial Narrow"/>
                <w:sz w:val="22"/>
                <w:szCs w:val="22"/>
                <w:lang w:val="fr-FR"/>
              </w:rPr>
            </w:pPr>
            <w:r>
              <w:rPr>
                <w:rFonts w:ascii="Arial Narrow" w:hAnsi="Arial Narrow" w:cs="Arial"/>
                <w:color w:val="000000"/>
                <w:sz w:val="24"/>
                <w:lang w:val="fr-FR"/>
              </w:rPr>
              <w:t xml:space="preserve">Dans le cadre du projet d’appui à l’entreprenariat féminin et l’expérimentation des solutions à fort impact communautaire dans un cadre </w:t>
            </w:r>
            <w:r w:rsidRPr="00BC6D74">
              <w:rPr>
                <w:rFonts w:ascii="Arial Narrow" w:hAnsi="Arial Narrow" w:cs="Arial"/>
                <w:color w:val="000000"/>
                <w:sz w:val="24"/>
                <w:lang w:val="fr-FR"/>
              </w:rPr>
              <w:t>multipartenaire</w:t>
            </w:r>
            <w:r>
              <w:rPr>
                <w:rFonts w:ascii="Arial Narrow" w:hAnsi="Arial Narrow" w:cs="Arial"/>
                <w:color w:val="000000"/>
                <w:sz w:val="24"/>
                <w:lang w:val="fr-FR"/>
              </w:rPr>
              <w:t>, le Programme des Nations Unies pour le développement (PNUD) recrute un(e) consultant(e) national(e) pour réaliser une étude sur l’état des lieux de financement des initiatives féminines par le secteur financier tchadien</w:t>
            </w:r>
          </w:p>
        </w:tc>
      </w:tr>
      <w:tr w:rsidR="00B164AB" w:rsidRPr="007A63C4" w14:paraId="4BB109C7" w14:textId="77777777" w:rsidTr="009C03C6">
        <w:trPr>
          <w:jc w:val="center"/>
        </w:trPr>
        <w:tc>
          <w:tcPr>
            <w:tcW w:w="5000" w:type="pct"/>
            <w:shd w:val="clear" w:color="auto" w:fill="2F5496" w:themeFill="accent1" w:themeFillShade="BF"/>
          </w:tcPr>
          <w:p w14:paraId="0C5C4ADF" w14:textId="77777777" w:rsidR="00B164AB" w:rsidRPr="0085690B" w:rsidRDefault="00B164AB" w:rsidP="009C03C6">
            <w:pPr>
              <w:spacing w:line="252" w:lineRule="auto"/>
              <w:rPr>
                <w:rFonts w:ascii="Arial Narrow" w:hAnsi="Arial Narrow"/>
                <w:b/>
                <w:bCs/>
                <w:lang w:val="fr-FR"/>
              </w:rPr>
            </w:pPr>
            <w:r w:rsidRPr="0085690B">
              <w:rPr>
                <w:rFonts w:ascii="Arial Narrow" w:hAnsi="Arial Narrow"/>
                <w:b/>
                <w:bCs/>
                <w:color w:val="FFFFFF" w:themeColor="background1"/>
                <w:lang w:val="fr-FR"/>
              </w:rPr>
              <w:lastRenderedPageBreak/>
              <w:t>II. Objectif de la Consultation</w:t>
            </w:r>
            <w:r w:rsidRPr="0085690B">
              <w:rPr>
                <w:rFonts w:ascii="Arial Narrow" w:hAnsi="Arial Narrow"/>
                <w:b/>
                <w:bCs/>
                <w:lang w:val="fr-FR"/>
              </w:rPr>
              <w:t>,</w:t>
            </w:r>
          </w:p>
        </w:tc>
      </w:tr>
      <w:tr w:rsidR="00B164AB" w:rsidRPr="007A63C4" w14:paraId="7F862A2B" w14:textId="77777777" w:rsidTr="009C03C6">
        <w:trPr>
          <w:trHeight w:val="841"/>
          <w:jc w:val="center"/>
        </w:trPr>
        <w:tc>
          <w:tcPr>
            <w:tcW w:w="5000" w:type="pct"/>
          </w:tcPr>
          <w:p w14:paraId="0E8C7D3F" w14:textId="77777777" w:rsidR="0052371F" w:rsidRPr="00F11D53" w:rsidRDefault="0052371F" w:rsidP="0052371F">
            <w:pPr>
              <w:tabs>
                <w:tab w:val="left" w:pos="284"/>
                <w:tab w:val="left" w:pos="426"/>
              </w:tabs>
              <w:spacing w:before="120" w:after="120"/>
              <w:jc w:val="both"/>
              <w:rPr>
                <w:rFonts w:ascii="Arial Narrow" w:hAnsi="Arial Narrow" w:cs="Arial"/>
                <w:color w:val="000000"/>
                <w:sz w:val="24"/>
                <w:szCs w:val="24"/>
                <w:lang w:val="fr-FR"/>
              </w:rPr>
            </w:pPr>
            <w:r w:rsidRPr="00BA1ED8">
              <w:rPr>
                <w:rFonts w:ascii="Arial Narrow" w:hAnsi="Arial Narrow" w:cs="Arial"/>
                <w:color w:val="000000"/>
                <w:sz w:val="24"/>
                <w:szCs w:val="24"/>
                <w:lang w:val="fr-FR"/>
              </w:rPr>
              <w:t xml:space="preserve">Placé sous la supervision générale du </w:t>
            </w:r>
            <w:r>
              <w:rPr>
                <w:rFonts w:ascii="Arial Narrow" w:hAnsi="Arial Narrow" w:cs="Arial"/>
                <w:color w:val="000000"/>
                <w:sz w:val="24"/>
                <w:szCs w:val="24"/>
                <w:lang w:val="fr-FR"/>
              </w:rPr>
              <w:t xml:space="preserve">Chef de l’Unité Gouvernance </w:t>
            </w:r>
            <w:r w:rsidRPr="00BA1ED8">
              <w:rPr>
                <w:rFonts w:ascii="Arial Narrow" w:hAnsi="Arial Narrow" w:cs="Arial"/>
                <w:color w:val="000000"/>
                <w:sz w:val="24"/>
                <w:szCs w:val="24"/>
                <w:lang w:val="fr-FR"/>
              </w:rPr>
              <w:t>du PNUD et la supervision directe d</w:t>
            </w:r>
            <w:r>
              <w:rPr>
                <w:rFonts w:ascii="Arial Narrow" w:hAnsi="Arial Narrow" w:cs="Arial"/>
                <w:color w:val="000000"/>
                <w:sz w:val="24"/>
                <w:szCs w:val="24"/>
                <w:lang w:val="fr-FR"/>
              </w:rPr>
              <w:t xml:space="preserve">u </w:t>
            </w:r>
            <w:r w:rsidRPr="00F11D53">
              <w:rPr>
                <w:rFonts w:ascii="Arial Narrow" w:hAnsi="Arial Narrow" w:cs="Arial"/>
                <w:color w:val="000000"/>
                <w:sz w:val="24"/>
                <w:szCs w:val="24"/>
                <w:lang w:val="fr-FR"/>
              </w:rPr>
              <w:t xml:space="preserve">Responsable de l’Expérimentation du Laboratoire de l’innovation, le/la consultant(e) aura pour mission de mener une étude sur l’état des lieux du financement des initiatives féminines par le </w:t>
            </w:r>
            <w:r>
              <w:rPr>
                <w:rFonts w:ascii="Arial Narrow" w:hAnsi="Arial Narrow" w:cs="Arial"/>
                <w:color w:val="000000"/>
                <w:sz w:val="24"/>
                <w:szCs w:val="24"/>
                <w:lang w:val="fr-FR"/>
              </w:rPr>
              <w:t>secteur financier tchadien</w:t>
            </w:r>
            <w:r w:rsidRPr="00F11D53">
              <w:rPr>
                <w:rFonts w:ascii="Arial Narrow" w:hAnsi="Arial Narrow" w:cs="Arial"/>
                <w:color w:val="000000"/>
                <w:sz w:val="24"/>
                <w:szCs w:val="24"/>
                <w:lang w:val="fr-FR"/>
              </w:rPr>
              <w:t>. Plus spécifiquement, il s’agira de :</w:t>
            </w:r>
          </w:p>
          <w:p w14:paraId="3EAD8DAA" w14:textId="77777777" w:rsidR="0052371F"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F11D53">
              <w:rPr>
                <w:rFonts w:ascii="Arial Narrow" w:hAnsi="Arial Narrow" w:cs="Times New Roman"/>
                <w:color w:val="000000"/>
                <w:sz w:val="24"/>
                <w:szCs w:val="24"/>
                <w:lang w:val="fr-FR"/>
              </w:rPr>
              <w:t xml:space="preserve">Evaluer le </w:t>
            </w:r>
            <w:r>
              <w:rPr>
                <w:rFonts w:ascii="Arial Narrow" w:hAnsi="Arial Narrow" w:cs="Times New Roman"/>
                <w:color w:val="000000"/>
                <w:sz w:val="24"/>
                <w:szCs w:val="24"/>
                <w:lang w:val="fr-FR"/>
              </w:rPr>
              <w:t xml:space="preserve">niveau de </w:t>
            </w:r>
            <w:r w:rsidRPr="00F11D53">
              <w:rPr>
                <w:rFonts w:ascii="Arial Narrow" w:hAnsi="Arial Narrow" w:cs="Times New Roman"/>
                <w:color w:val="000000"/>
                <w:sz w:val="24"/>
                <w:szCs w:val="24"/>
                <w:lang w:val="fr-FR"/>
              </w:rPr>
              <w:t xml:space="preserve">financement de l’entreprenariat féminin par le </w:t>
            </w:r>
            <w:r>
              <w:rPr>
                <w:rFonts w:ascii="Arial Narrow" w:hAnsi="Arial Narrow" w:cs="Times New Roman"/>
                <w:color w:val="000000"/>
                <w:sz w:val="24"/>
                <w:szCs w:val="24"/>
                <w:lang w:val="fr-FR"/>
              </w:rPr>
              <w:t>secteur financier au Tchad ;</w:t>
            </w:r>
          </w:p>
          <w:p w14:paraId="232079F1" w14:textId="77777777" w:rsidR="0052371F" w:rsidRDefault="0052371F" w:rsidP="0052371F">
            <w:pPr>
              <w:pStyle w:val="Paragraphedeliste"/>
              <w:numPr>
                <w:ilvl w:val="0"/>
                <w:numId w:val="10"/>
              </w:numPr>
              <w:tabs>
                <w:tab w:val="left" w:pos="284"/>
                <w:tab w:val="left" w:pos="426"/>
              </w:tabs>
              <w:spacing w:before="120" w:after="120"/>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Identifier les facteurs limitant le financement de l’entreprenariat féminin par le secteur financier ;</w:t>
            </w:r>
          </w:p>
          <w:p w14:paraId="2FF2DB75" w14:textId="77777777" w:rsidR="0052371F" w:rsidRDefault="0052371F" w:rsidP="0052371F">
            <w:pPr>
              <w:pStyle w:val="Paragraphedeliste"/>
              <w:numPr>
                <w:ilvl w:val="0"/>
                <w:numId w:val="10"/>
              </w:numPr>
              <w:tabs>
                <w:tab w:val="left" w:pos="284"/>
                <w:tab w:val="left" w:pos="426"/>
              </w:tabs>
              <w:spacing w:before="120" w:after="120"/>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Développer des indicateurs mesurant le degré de sensibilité des institutions financières au genre ;</w:t>
            </w:r>
          </w:p>
          <w:p w14:paraId="3BF9F704" w14:textId="6DB0F995" w:rsidR="00B164AB" w:rsidRPr="0052371F" w:rsidRDefault="0052371F" w:rsidP="0052371F">
            <w:pPr>
              <w:pStyle w:val="Paragraphedeliste"/>
              <w:numPr>
                <w:ilvl w:val="0"/>
                <w:numId w:val="10"/>
              </w:numPr>
              <w:tabs>
                <w:tab w:val="left" w:pos="284"/>
                <w:tab w:val="left" w:pos="426"/>
              </w:tabs>
              <w:spacing w:before="120" w:after="120"/>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Opérer un classement des établissements financiers en fonction de leur sensibilité au genre.</w:t>
            </w:r>
          </w:p>
        </w:tc>
      </w:tr>
      <w:tr w:rsidR="00B164AB" w:rsidRPr="009E7090" w14:paraId="563084D9" w14:textId="77777777" w:rsidTr="009C03C6">
        <w:trPr>
          <w:trHeight w:val="270"/>
          <w:jc w:val="center"/>
        </w:trPr>
        <w:tc>
          <w:tcPr>
            <w:tcW w:w="5000" w:type="pct"/>
            <w:shd w:val="clear" w:color="auto" w:fill="000080"/>
            <w:vAlign w:val="center"/>
          </w:tcPr>
          <w:p w14:paraId="590CAC08" w14:textId="77777777" w:rsidR="00B164AB" w:rsidRPr="009E7090" w:rsidRDefault="00B164AB" w:rsidP="009C03C6">
            <w:pPr>
              <w:keepNext/>
              <w:spacing w:line="252" w:lineRule="auto"/>
              <w:rPr>
                <w:rFonts w:ascii="Arial Narrow" w:hAnsi="Arial Narrow"/>
                <w:b/>
                <w:bCs/>
                <w:lang w:val="fr-FR"/>
              </w:rPr>
            </w:pPr>
            <w:r w:rsidRPr="009E7090">
              <w:rPr>
                <w:rFonts w:ascii="Arial Narrow" w:hAnsi="Arial Narrow"/>
                <w:b/>
                <w:bCs/>
                <w:lang w:val="fr-FR"/>
              </w:rPr>
              <w:lastRenderedPageBreak/>
              <w:t>I</w:t>
            </w:r>
            <w:r>
              <w:rPr>
                <w:rFonts w:ascii="Arial Narrow" w:hAnsi="Arial Narrow"/>
                <w:b/>
                <w:bCs/>
                <w:lang w:val="fr-FR"/>
              </w:rPr>
              <w:t>II</w:t>
            </w:r>
            <w:r w:rsidRPr="009E7090">
              <w:rPr>
                <w:rFonts w:ascii="Arial Narrow" w:hAnsi="Arial Narrow"/>
                <w:b/>
                <w:bCs/>
                <w:lang w:val="fr-FR"/>
              </w:rPr>
              <w:t>. Résultats attendus</w:t>
            </w:r>
          </w:p>
        </w:tc>
      </w:tr>
      <w:tr w:rsidR="00B164AB" w:rsidRPr="007A63C4" w14:paraId="44B26ABD" w14:textId="77777777" w:rsidTr="009C03C6">
        <w:trPr>
          <w:trHeight w:val="2202"/>
          <w:jc w:val="center"/>
        </w:trPr>
        <w:tc>
          <w:tcPr>
            <w:tcW w:w="5000" w:type="pct"/>
          </w:tcPr>
          <w:p w14:paraId="4C6F528C" w14:textId="5B3A3E55" w:rsidR="0052371F" w:rsidRDefault="0052371F" w:rsidP="0052371F">
            <w:pPr>
              <w:tabs>
                <w:tab w:val="left" w:pos="284"/>
                <w:tab w:val="left" w:pos="426"/>
              </w:tabs>
              <w:spacing w:before="120" w:after="120"/>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Les résultats suivants sont atteints :</w:t>
            </w:r>
          </w:p>
          <w:p w14:paraId="65BEA7B0" w14:textId="77777777" w:rsidR="0052371F" w:rsidRDefault="0052371F" w:rsidP="0052371F">
            <w:pPr>
              <w:pStyle w:val="Paragraphedeliste"/>
              <w:numPr>
                <w:ilvl w:val="0"/>
                <w:numId w:val="5"/>
              </w:numPr>
              <w:tabs>
                <w:tab w:val="left" w:pos="284"/>
                <w:tab w:val="left" w:pos="426"/>
              </w:tabs>
              <w:spacing w:before="120" w:after="120"/>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Le niveau de financement de l’entreprenariat féminin par le secteur financier est évalué ;</w:t>
            </w:r>
          </w:p>
          <w:p w14:paraId="5E3408D1" w14:textId="77777777" w:rsidR="0052371F" w:rsidRDefault="0052371F" w:rsidP="0052371F">
            <w:pPr>
              <w:pStyle w:val="Paragraphedeliste"/>
              <w:numPr>
                <w:ilvl w:val="0"/>
                <w:numId w:val="5"/>
              </w:numPr>
              <w:tabs>
                <w:tab w:val="left" w:pos="284"/>
                <w:tab w:val="left" w:pos="426"/>
              </w:tabs>
              <w:spacing w:before="120" w:after="120"/>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Des indicateurs mesurables de la sensibilité des établissements du secteur financier au genre sont développés ;</w:t>
            </w:r>
          </w:p>
          <w:p w14:paraId="0D4319C3" w14:textId="77777777" w:rsidR="0052371F" w:rsidRDefault="0052371F" w:rsidP="0052371F">
            <w:pPr>
              <w:pStyle w:val="Paragraphedeliste"/>
              <w:numPr>
                <w:ilvl w:val="0"/>
                <w:numId w:val="5"/>
              </w:numPr>
              <w:tabs>
                <w:tab w:val="left" w:pos="284"/>
                <w:tab w:val="left" w:pos="426"/>
              </w:tabs>
              <w:spacing w:before="120" w:after="120"/>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Les établissements financiers sont classés selon leur degré de sensibilité au genre ;</w:t>
            </w:r>
          </w:p>
          <w:p w14:paraId="62400D87" w14:textId="77777777" w:rsidR="0052371F" w:rsidRDefault="0052371F" w:rsidP="0052371F">
            <w:pPr>
              <w:pStyle w:val="Paragraphedeliste"/>
              <w:numPr>
                <w:ilvl w:val="0"/>
                <w:numId w:val="5"/>
              </w:numPr>
              <w:tabs>
                <w:tab w:val="left" w:pos="284"/>
                <w:tab w:val="left" w:pos="426"/>
              </w:tabs>
              <w:spacing w:before="120" w:after="120"/>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Les facteurs limitant le financement de l’entreprenariat féminin sont identifiés ;</w:t>
            </w:r>
          </w:p>
          <w:p w14:paraId="08C33AC6" w14:textId="4E53DD04" w:rsidR="00B164AB" w:rsidRPr="001A00C8" w:rsidRDefault="0052371F" w:rsidP="007A63C4">
            <w:pPr>
              <w:pStyle w:val="Paragraphedeliste"/>
              <w:numPr>
                <w:ilvl w:val="0"/>
                <w:numId w:val="5"/>
              </w:numPr>
              <w:spacing w:after="0" w:line="240" w:lineRule="auto"/>
              <w:jc w:val="both"/>
              <w:rPr>
                <w:rFonts w:ascii="Arial Narrow" w:eastAsia="Times New Roman" w:hAnsi="Arial Narrow"/>
                <w:lang w:val="fr-FR"/>
              </w:rPr>
            </w:pPr>
            <w:r>
              <w:rPr>
                <w:rFonts w:ascii="Arial Narrow" w:hAnsi="Arial Narrow" w:cs="Times New Roman"/>
                <w:color w:val="000000"/>
                <w:sz w:val="24"/>
                <w:szCs w:val="24"/>
                <w:lang w:val="fr-FR"/>
              </w:rPr>
              <w:t>Un plan de sensibilisation des établissements financiers à la promotion du genre est mis en place</w:t>
            </w:r>
          </w:p>
        </w:tc>
      </w:tr>
      <w:tr w:rsidR="00B164AB" w:rsidRPr="009E7090" w14:paraId="51C68F43" w14:textId="77777777" w:rsidTr="009C03C6">
        <w:trPr>
          <w:trHeight w:val="416"/>
          <w:jc w:val="center"/>
        </w:trPr>
        <w:tc>
          <w:tcPr>
            <w:tcW w:w="5000" w:type="pct"/>
            <w:shd w:val="clear" w:color="auto" w:fill="000080"/>
            <w:vAlign w:val="center"/>
          </w:tcPr>
          <w:p w14:paraId="0BB59FF7" w14:textId="77777777" w:rsidR="00B164AB" w:rsidRPr="009E7090" w:rsidRDefault="00B164AB" w:rsidP="009C03C6">
            <w:pPr>
              <w:keepNext/>
              <w:spacing w:line="252" w:lineRule="auto"/>
              <w:rPr>
                <w:rFonts w:ascii="Arial Narrow" w:hAnsi="Arial Narrow"/>
                <w:b/>
                <w:bCs/>
                <w:lang w:val="fr-FR"/>
              </w:rPr>
            </w:pPr>
            <w:r>
              <w:rPr>
                <w:rFonts w:ascii="Arial Narrow" w:hAnsi="Arial Narrow"/>
                <w:b/>
                <w:bCs/>
                <w:lang w:val="fr-FR"/>
              </w:rPr>
              <w:t>I</w:t>
            </w:r>
            <w:r w:rsidRPr="009E7090">
              <w:rPr>
                <w:rFonts w:ascii="Arial Narrow" w:hAnsi="Arial Narrow"/>
                <w:b/>
                <w:bCs/>
                <w:lang w:val="fr-FR"/>
              </w:rPr>
              <w:t xml:space="preserve">V. Fonctions et responsabilités  </w:t>
            </w:r>
          </w:p>
        </w:tc>
      </w:tr>
      <w:tr w:rsidR="00B164AB" w:rsidRPr="007A63C4" w14:paraId="46E06C60" w14:textId="77777777" w:rsidTr="009C03C6">
        <w:trPr>
          <w:trHeight w:val="4539"/>
          <w:jc w:val="center"/>
        </w:trPr>
        <w:tc>
          <w:tcPr>
            <w:tcW w:w="5000" w:type="pct"/>
          </w:tcPr>
          <w:p w14:paraId="4CEB32C6" w14:textId="77777777" w:rsidR="0052371F" w:rsidRPr="00EE61D8" w:rsidRDefault="0052371F" w:rsidP="0052371F">
            <w:pPr>
              <w:suppressAutoHyphens/>
              <w:jc w:val="both"/>
              <w:rPr>
                <w:rFonts w:ascii="Arial Narrow" w:hAnsi="Arial Narrow" w:cs="Times New Roman"/>
                <w:sz w:val="24"/>
                <w:szCs w:val="24"/>
                <w:lang w:val="fr-FR"/>
              </w:rPr>
            </w:pPr>
            <w:r w:rsidRPr="00EE61D8">
              <w:rPr>
                <w:rFonts w:ascii="Arial Narrow" w:hAnsi="Arial Narrow" w:cs="Times New Roman"/>
                <w:sz w:val="24"/>
                <w:szCs w:val="24"/>
                <w:lang w:val="fr-FR"/>
              </w:rPr>
              <w:t>Afin d’atteindre les objectifs spécifiques, le</w:t>
            </w:r>
            <w:r>
              <w:rPr>
                <w:rFonts w:ascii="Arial Narrow" w:hAnsi="Arial Narrow" w:cs="Times New Roman"/>
                <w:sz w:val="24"/>
                <w:szCs w:val="24"/>
                <w:lang w:val="fr-FR"/>
              </w:rPr>
              <w:t>/la</w:t>
            </w:r>
            <w:r w:rsidRPr="00EE61D8">
              <w:rPr>
                <w:rFonts w:ascii="Arial Narrow" w:hAnsi="Arial Narrow" w:cs="Times New Roman"/>
                <w:sz w:val="24"/>
                <w:szCs w:val="24"/>
                <w:lang w:val="fr-FR"/>
              </w:rPr>
              <w:t xml:space="preserve"> </w:t>
            </w:r>
            <w:r>
              <w:rPr>
                <w:rFonts w:ascii="Arial Narrow" w:hAnsi="Arial Narrow" w:cs="Times New Roman"/>
                <w:sz w:val="24"/>
                <w:szCs w:val="24"/>
                <w:lang w:val="fr-FR"/>
              </w:rPr>
              <w:t>c</w:t>
            </w:r>
            <w:r w:rsidRPr="00EE61D8">
              <w:rPr>
                <w:rFonts w:ascii="Arial Narrow" w:hAnsi="Arial Narrow" w:cs="Times New Roman"/>
                <w:sz w:val="24"/>
                <w:szCs w:val="24"/>
                <w:lang w:val="fr-FR"/>
              </w:rPr>
              <w:t>onsultant</w:t>
            </w:r>
            <w:r>
              <w:rPr>
                <w:rFonts w:ascii="Arial Narrow" w:hAnsi="Arial Narrow" w:cs="Times New Roman"/>
                <w:sz w:val="24"/>
                <w:szCs w:val="24"/>
                <w:lang w:val="fr-FR"/>
              </w:rPr>
              <w:t>(e) national(e)</w:t>
            </w:r>
            <w:r w:rsidRPr="00EE61D8">
              <w:rPr>
                <w:rFonts w:ascii="Arial Narrow" w:hAnsi="Arial Narrow" w:cs="Times New Roman"/>
                <w:sz w:val="24"/>
                <w:szCs w:val="24"/>
                <w:lang w:val="fr-FR"/>
              </w:rPr>
              <w:t xml:space="preserve"> doit :</w:t>
            </w:r>
          </w:p>
          <w:p w14:paraId="7607BDA1" w14:textId="77777777" w:rsidR="0052371F" w:rsidRPr="004F4562"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4F4562">
              <w:rPr>
                <w:rFonts w:ascii="Arial Narrow" w:hAnsi="Arial Narrow" w:cs="Times New Roman"/>
                <w:color w:val="000000"/>
                <w:sz w:val="24"/>
                <w:szCs w:val="24"/>
                <w:lang w:val="fr-FR"/>
              </w:rPr>
              <w:t xml:space="preserve">Analyser l’écosystème de l’entreprenariat </w:t>
            </w:r>
            <w:r>
              <w:rPr>
                <w:rFonts w:ascii="Arial Narrow" w:hAnsi="Arial Narrow" w:cs="Times New Roman"/>
                <w:color w:val="000000"/>
                <w:sz w:val="24"/>
                <w:szCs w:val="24"/>
                <w:lang w:val="fr-FR"/>
              </w:rPr>
              <w:t xml:space="preserve">(et féminin en particulier) </w:t>
            </w:r>
            <w:r w:rsidRPr="004F4562">
              <w:rPr>
                <w:rFonts w:ascii="Arial Narrow" w:hAnsi="Arial Narrow" w:cs="Times New Roman"/>
                <w:color w:val="000000"/>
                <w:sz w:val="24"/>
                <w:szCs w:val="24"/>
                <w:lang w:val="fr-FR"/>
              </w:rPr>
              <w:t>au Tchad pour en identifier les forces et faiblesses en termes de financement ;</w:t>
            </w:r>
          </w:p>
          <w:p w14:paraId="2202B251" w14:textId="77777777" w:rsidR="0052371F"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4F4562">
              <w:rPr>
                <w:rFonts w:ascii="Arial Narrow" w:hAnsi="Arial Narrow" w:cs="Times New Roman"/>
                <w:color w:val="000000"/>
                <w:sz w:val="24"/>
                <w:szCs w:val="24"/>
                <w:lang w:val="fr-FR"/>
              </w:rPr>
              <w:t xml:space="preserve">Analyser le cadre institutionnel et réglementaire relatif au financement de l’entreprenariat féminin par le </w:t>
            </w:r>
            <w:r>
              <w:rPr>
                <w:rFonts w:ascii="Arial Narrow" w:hAnsi="Arial Narrow" w:cs="Times New Roman"/>
                <w:color w:val="000000"/>
                <w:sz w:val="24"/>
                <w:szCs w:val="24"/>
                <w:lang w:val="fr-FR"/>
              </w:rPr>
              <w:t>secteur financier</w:t>
            </w:r>
            <w:r w:rsidRPr="004F4562">
              <w:rPr>
                <w:rFonts w:ascii="Arial Narrow" w:hAnsi="Arial Narrow" w:cs="Times New Roman"/>
                <w:color w:val="000000"/>
                <w:sz w:val="24"/>
                <w:szCs w:val="24"/>
                <w:lang w:val="fr-FR"/>
              </w:rPr>
              <w:t xml:space="preserve"> et identifier le gap par rapport aux pratiques courantes dans les pays similaires au Tchad</w:t>
            </w:r>
            <w:r>
              <w:rPr>
                <w:rFonts w:ascii="Arial Narrow" w:hAnsi="Arial Narrow" w:cs="Times New Roman"/>
                <w:color w:val="000000"/>
                <w:sz w:val="24"/>
                <w:szCs w:val="24"/>
                <w:lang w:val="fr-FR"/>
              </w:rPr>
              <w:t xml:space="preserve"> et ceux de la sous-région</w:t>
            </w:r>
            <w:r w:rsidRPr="004F4562">
              <w:rPr>
                <w:rFonts w:ascii="Arial Narrow" w:hAnsi="Arial Narrow" w:cs="Times New Roman"/>
                <w:color w:val="000000"/>
                <w:sz w:val="24"/>
                <w:szCs w:val="24"/>
                <w:lang w:val="fr-FR"/>
              </w:rPr>
              <w:t> ;</w:t>
            </w:r>
          </w:p>
          <w:p w14:paraId="5C7F8565" w14:textId="77777777" w:rsidR="0052371F" w:rsidRPr="004F4562"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Formuler des indicateurs mesurables de la sensibilité des établissements financiers au genre ;</w:t>
            </w:r>
          </w:p>
          <w:p w14:paraId="232D67D5" w14:textId="77777777" w:rsidR="0052371F"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4F4562">
              <w:rPr>
                <w:rFonts w:ascii="Arial Narrow" w:hAnsi="Arial Narrow" w:cs="Times New Roman"/>
                <w:color w:val="000000"/>
                <w:sz w:val="24"/>
                <w:szCs w:val="24"/>
                <w:lang w:val="fr-FR"/>
              </w:rPr>
              <w:t xml:space="preserve">Collecter les données qualitatives et quantitatives susceptibles de </w:t>
            </w:r>
            <w:r>
              <w:rPr>
                <w:rFonts w:ascii="Arial Narrow" w:hAnsi="Arial Narrow" w:cs="Times New Roman"/>
                <w:color w:val="000000"/>
                <w:sz w:val="24"/>
                <w:szCs w:val="24"/>
                <w:lang w:val="fr-FR"/>
              </w:rPr>
              <w:t>renseigner ces indicateurs</w:t>
            </w:r>
            <w:r w:rsidRPr="004F4562">
              <w:rPr>
                <w:rFonts w:ascii="Arial Narrow" w:hAnsi="Arial Narrow" w:cs="Times New Roman"/>
                <w:color w:val="000000"/>
                <w:sz w:val="24"/>
                <w:szCs w:val="24"/>
                <w:lang w:val="fr-FR"/>
              </w:rPr>
              <w:t> ;</w:t>
            </w:r>
          </w:p>
          <w:p w14:paraId="1FF51EB0" w14:textId="77777777" w:rsidR="0052371F"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Proposer, suivant une méthodologie robuste, un indice global de mesure de la sensibilité au genre des établissements financiers sur la base des indicateurs de sensibilité au genre ;</w:t>
            </w:r>
          </w:p>
          <w:p w14:paraId="19A70448" w14:textId="77777777" w:rsidR="0052371F" w:rsidRPr="004F4562"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Réaliser un classement des établissements financiers tchadiens suivant l’indice global de sensibilité au genre proposé ;</w:t>
            </w:r>
          </w:p>
          <w:p w14:paraId="375BF66E" w14:textId="77777777" w:rsidR="0052371F" w:rsidRPr="004F4562"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4F4562">
              <w:rPr>
                <w:rFonts w:ascii="Arial Narrow" w:hAnsi="Arial Narrow" w:cs="Times New Roman"/>
                <w:color w:val="000000"/>
                <w:sz w:val="24"/>
                <w:szCs w:val="24"/>
                <w:lang w:val="fr-FR"/>
              </w:rPr>
              <w:t>Formuler de</w:t>
            </w:r>
            <w:r>
              <w:rPr>
                <w:rFonts w:ascii="Arial Narrow" w:hAnsi="Arial Narrow" w:cs="Times New Roman"/>
                <w:color w:val="000000"/>
                <w:sz w:val="24"/>
                <w:szCs w:val="24"/>
                <w:lang w:val="fr-FR"/>
              </w:rPr>
              <w:t>s</w:t>
            </w:r>
            <w:r w:rsidRPr="004F4562">
              <w:rPr>
                <w:rFonts w:ascii="Arial Narrow" w:hAnsi="Arial Narrow" w:cs="Times New Roman"/>
                <w:color w:val="000000"/>
                <w:sz w:val="24"/>
                <w:szCs w:val="24"/>
                <w:lang w:val="fr-FR"/>
              </w:rPr>
              <w:t xml:space="preserve"> recommandations pour la prise en compte du genre dans les décisions </w:t>
            </w:r>
            <w:r>
              <w:rPr>
                <w:rFonts w:ascii="Arial Narrow" w:hAnsi="Arial Narrow" w:cs="Times New Roman"/>
                <w:color w:val="000000"/>
                <w:sz w:val="24"/>
                <w:szCs w:val="24"/>
                <w:lang w:val="fr-FR"/>
              </w:rPr>
              <w:t xml:space="preserve">et pratiques </w:t>
            </w:r>
            <w:r w:rsidRPr="004F4562">
              <w:rPr>
                <w:rFonts w:ascii="Arial Narrow" w:hAnsi="Arial Narrow" w:cs="Times New Roman"/>
                <w:color w:val="000000"/>
                <w:sz w:val="24"/>
                <w:szCs w:val="24"/>
                <w:lang w:val="fr-FR"/>
              </w:rPr>
              <w:t xml:space="preserve">de financement des </w:t>
            </w:r>
            <w:r>
              <w:rPr>
                <w:rFonts w:ascii="Arial Narrow" w:hAnsi="Arial Narrow" w:cs="Times New Roman"/>
                <w:color w:val="000000"/>
                <w:sz w:val="24"/>
                <w:szCs w:val="24"/>
                <w:lang w:val="fr-FR"/>
              </w:rPr>
              <w:t>établissements financiers</w:t>
            </w:r>
            <w:r w:rsidRPr="004F4562">
              <w:rPr>
                <w:rFonts w:ascii="Arial Narrow" w:hAnsi="Arial Narrow" w:cs="Times New Roman"/>
                <w:color w:val="000000"/>
                <w:sz w:val="24"/>
                <w:szCs w:val="24"/>
                <w:lang w:val="fr-FR"/>
              </w:rPr>
              <w:t> ;</w:t>
            </w:r>
          </w:p>
          <w:p w14:paraId="5E099D3F" w14:textId="77777777" w:rsidR="0052371F" w:rsidRPr="004F4562" w:rsidRDefault="0052371F" w:rsidP="0052371F">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4F4562">
              <w:rPr>
                <w:rFonts w:ascii="Arial Narrow" w:hAnsi="Arial Narrow" w:cs="Times New Roman"/>
                <w:color w:val="000000"/>
                <w:sz w:val="24"/>
                <w:szCs w:val="24"/>
                <w:lang w:val="fr-FR"/>
              </w:rPr>
              <w:t xml:space="preserve">Développer un mécanisme de suivi </w:t>
            </w:r>
            <w:r>
              <w:rPr>
                <w:rFonts w:ascii="Arial Narrow" w:hAnsi="Arial Narrow" w:cs="Times New Roman"/>
                <w:color w:val="000000"/>
                <w:sz w:val="24"/>
                <w:szCs w:val="24"/>
                <w:lang w:val="fr-FR"/>
              </w:rPr>
              <w:t>temporel</w:t>
            </w:r>
            <w:r w:rsidRPr="004F4562">
              <w:rPr>
                <w:rFonts w:ascii="Arial Narrow" w:hAnsi="Arial Narrow" w:cs="Times New Roman"/>
                <w:color w:val="000000"/>
                <w:sz w:val="24"/>
                <w:szCs w:val="24"/>
                <w:lang w:val="fr-FR"/>
              </w:rPr>
              <w:t xml:space="preserve"> de la sensibilité des </w:t>
            </w:r>
            <w:r>
              <w:rPr>
                <w:rFonts w:ascii="Arial Narrow" w:hAnsi="Arial Narrow" w:cs="Times New Roman"/>
                <w:color w:val="000000"/>
                <w:sz w:val="24"/>
                <w:szCs w:val="24"/>
                <w:lang w:val="fr-FR"/>
              </w:rPr>
              <w:t>établissements financiers</w:t>
            </w:r>
            <w:r w:rsidRPr="004F4562">
              <w:rPr>
                <w:rFonts w:ascii="Arial Narrow" w:hAnsi="Arial Narrow" w:cs="Times New Roman"/>
                <w:color w:val="000000"/>
                <w:sz w:val="24"/>
                <w:szCs w:val="24"/>
                <w:lang w:val="fr-FR"/>
              </w:rPr>
              <w:t xml:space="preserve"> au genre ;</w:t>
            </w:r>
          </w:p>
          <w:p w14:paraId="31E25813" w14:textId="77777777" w:rsidR="0052371F" w:rsidRPr="00EE61D8" w:rsidRDefault="0052371F" w:rsidP="0052371F">
            <w:pPr>
              <w:pStyle w:val="Paragraphedeliste"/>
              <w:numPr>
                <w:ilvl w:val="0"/>
                <w:numId w:val="10"/>
              </w:numPr>
              <w:tabs>
                <w:tab w:val="left" w:pos="284"/>
                <w:tab w:val="left" w:pos="426"/>
              </w:tabs>
              <w:spacing w:before="120" w:after="0"/>
              <w:ind w:hanging="294"/>
              <w:jc w:val="both"/>
              <w:rPr>
                <w:rFonts w:ascii="Arial Narrow" w:hAnsi="Arial Narrow" w:cs="Times New Roman"/>
                <w:sz w:val="24"/>
                <w:szCs w:val="24"/>
                <w:lang w:val="fr-FR"/>
              </w:rPr>
            </w:pPr>
            <w:r w:rsidRPr="004F4562">
              <w:rPr>
                <w:rFonts w:ascii="Arial Narrow" w:hAnsi="Arial Narrow" w:cs="Times New Roman"/>
                <w:color w:val="000000"/>
                <w:sz w:val="24"/>
                <w:szCs w:val="24"/>
                <w:lang w:val="fr-FR"/>
              </w:rPr>
              <w:t>Rédiger les différents</w:t>
            </w:r>
            <w:r w:rsidRPr="00EE61D8">
              <w:rPr>
                <w:rFonts w:ascii="Arial Narrow" w:hAnsi="Arial Narrow" w:cs="Times New Roman"/>
                <w:sz w:val="24"/>
                <w:szCs w:val="24"/>
                <w:lang w:val="fr-FR"/>
              </w:rPr>
              <w:t xml:space="preserve"> </w:t>
            </w:r>
            <w:r>
              <w:rPr>
                <w:rFonts w:ascii="Arial Narrow" w:hAnsi="Arial Narrow" w:cs="Times New Roman"/>
                <w:sz w:val="24"/>
                <w:szCs w:val="24"/>
                <w:lang w:val="fr-FR"/>
              </w:rPr>
              <w:t xml:space="preserve">livrables </w:t>
            </w:r>
            <w:r w:rsidRPr="00EE61D8">
              <w:rPr>
                <w:rFonts w:ascii="Arial Narrow" w:hAnsi="Arial Narrow" w:cs="Times New Roman"/>
                <w:sz w:val="24"/>
                <w:szCs w:val="24"/>
                <w:lang w:val="fr-FR"/>
              </w:rPr>
              <w:t xml:space="preserve">attendus ainsi que le rapport final de la mission. </w:t>
            </w:r>
          </w:p>
          <w:p w14:paraId="535990BE" w14:textId="77777777" w:rsidR="0052371F" w:rsidRPr="00EE61D8" w:rsidRDefault="0052371F" w:rsidP="0052371F">
            <w:pPr>
              <w:tabs>
                <w:tab w:val="left" w:pos="2010"/>
              </w:tabs>
              <w:spacing w:after="0"/>
              <w:ind w:left="1416"/>
              <w:jc w:val="both"/>
              <w:rPr>
                <w:rFonts w:ascii="Arial Narrow" w:hAnsi="Arial Narrow" w:cs="Times New Roman"/>
                <w:sz w:val="24"/>
                <w:szCs w:val="24"/>
                <w:lang w:val="fr-FR"/>
              </w:rPr>
            </w:pPr>
          </w:p>
          <w:p w14:paraId="2E129993" w14:textId="77777777" w:rsidR="0052371F" w:rsidRPr="00EE61D8" w:rsidRDefault="0052371F" w:rsidP="0052371F">
            <w:pPr>
              <w:suppressAutoHyphens/>
              <w:spacing w:after="120"/>
              <w:jc w:val="both"/>
              <w:rPr>
                <w:rFonts w:ascii="Arial Narrow" w:hAnsi="Arial Narrow" w:cs="Times New Roman"/>
                <w:sz w:val="24"/>
                <w:szCs w:val="24"/>
                <w:lang w:val="fr-FR"/>
              </w:rPr>
            </w:pPr>
            <w:r w:rsidRPr="00EE61D8">
              <w:rPr>
                <w:rFonts w:ascii="Arial Narrow" w:hAnsi="Arial Narrow" w:cs="Times New Roman"/>
                <w:sz w:val="24"/>
                <w:szCs w:val="24"/>
                <w:lang w:val="fr-FR"/>
              </w:rPr>
              <w:t>Au cours de cette mission de consultance, une attention particulière sera accordée aux cas suivants :</w:t>
            </w:r>
          </w:p>
          <w:p w14:paraId="1A9A59FF" w14:textId="77777777" w:rsidR="0052371F" w:rsidRDefault="0052371F" w:rsidP="0052371F">
            <w:pPr>
              <w:pStyle w:val="Paragraphedeliste"/>
              <w:numPr>
                <w:ilvl w:val="0"/>
                <w:numId w:val="10"/>
              </w:numPr>
              <w:tabs>
                <w:tab w:val="left" w:pos="284"/>
                <w:tab w:val="left" w:pos="426"/>
              </w:tabs>
              <w:spacing w:after="120"/>
              <w:ind w:hanging="294"/>
              <w:jc w:val="both"/>
              <w:rPr>
                <w:rFonts w:ascii="Arial Narrow" w:hAnsi="Arial Narrow" w:cs="Times New Roman"/>
                <w:color w:val="000000"/>
                <w:sz w:val="24"/>
                <w:szCs w:val="24"/>
                <w:lang w:val="fr-FR"/>
              </w:rPr>
            </w:pPr>
            <w:r w:rsidRPr="004F4562">
              <w:rPr>
                <w:rFonts w:ascii="Arial Narrow" w:hAnsi="Arial Narrow" w:cs="Times New Roman"/>
                <w:color w:val="000000"/>
                <w:sz w:val="24"/>
                <w:szCs w:val="24"/>
                <w:lang w:val="fr-FR"/>
              </w:rPr>
              <w:t>L</w:t>
            </w:r>
            <w:r>
              <w:rPr>
                <w:rFonts w:ascii="Arial Narrow" w:hAnsi="Arial Narrow" w:cs="Times New Roman"/>
                <w:color w:val="000000"/>
                <w:sz w:val="24"/>
                <w:szCs w:val="24"/>
                <w:lang w:val="fr-FR"/>
              </w:rPr>
              <w:t>a stricte confidentialité aux données collectées ;</w:t>
            </w:r>
          </w:p>
          <w:p w14:paraId="05E1EA26" w14:textId="6E251243" w:rsidR="00B164AB" w:rsidRPr="0052371F" w:rsidRDefault="0052371F" w:rsidP="009C03C6">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La définition du champ de l’étude (ménages, entreprises/ banques, institutions de microfinance, ministères de tutelle).</w:t>
            </w:r>
          </w:p>
        </w:tc>
      </w:tr>
      <w:tr w:rsidR="00B164AB" w:rsidRPr="009E7090" w14:paraId="69B1ECF8" w14:textId="77777777" w:rsidTr="009C03C6">
        <w:trPr>
          <w:trHeight w:val="309"/>
          <w:jc w:val="center"/>
        </w:trPr>
        <w:tc>
          <w:tcPr>
            <w:tcW w:w="5000" w:type="pct"/>
            <w:shd w:val="clear" w:color="auto" w:fill="000080"/>
            <w:vAlign w:val="center"/>
          </w:tcPr>
          <w:p w14:paraId="2AAA7E09" w14:textId="77777777" w:rsidR="00B164AB" w:rsidRPr="009E7090" w:rsidRDefault="00B164AB" w:rsidP="00B164AB">
            <w:pPr>
              <w:numPr>
                <w:ilvl w:val="0"/>
                <w:numId w:val="4"/>
              </w:numPr>
              <w:spacing w:after="0" w:line="240" w:lineRule="auto"/>
              <w:rPr>
                <w:rFonts w:ascii="Arial Narrow" w:hAnsi="Arial Narrow"/>
                <w:b/>
                <w:bCs/>
                <w:lang w:val="fr-FR"/>
              </w:rPr>
            </w:pPr>
            <w:r w:rsidRPr="009E7090">
              <w:rPr>
                <w:rFonts w:ascii="Arial Narrow" w:hAnsi="Arial Narrow"/>
                <w:b/>
                <w:bCs/>
                <w:lang w:val="fr-FR"/>
              </w:rPr>
              <w:t xml:space="preserve">V. Livrables </w:t>
            </w:r>
          </w:p>
        </w:tc>
      </w:tr>
      <w:tr w:rsidR="00B164AB" w:rsidRPr="007A63C4" w14:paraId="710862D3" w14:textId="77777777" w:rsidTr="009C03C6">
        <w:trPr>
          <w:trHeight w:val="309"/>
          <w:jc w:val="center"/>
        </w:trPr>
        <w:tc>
          <w:tcPr>
            <w:tcW w:w="5000" w:type="pct"/>
            <w:shd w:val="clear" w:color="auto" w:fill="auto"/>
            <w:vAlign w:val="center"/>
          </w:tcPr>
          <w:p w14:paraId="26B6B2EE" w14:textId="77777777" w:rsidR="00B164AB" w:rsidRDefault="00B164AB" w:rsidP="002531A4">
            <w:pPr>
              <w:jc w:val="both"/>
              <w:rPr>
                <w:rFonts w:ascii="Arial Narrow" w:hAnsi="Arial Narrow"/>
                <w:lang w:val="fr-FR"/>
              </w:rPr>
            </w:pPr>
            <w:r w:rsidRPr="009E7090">
              <w:rPr>
                <w:rFonts w:ascii="Arial Narrow" w:hAnsi="Arial Narrow"/>
                <w:lang w:val="fr-FR"/>
              </w:rPr>
              <w:t>Les produits/livrables attendus sont :</w:t>
            </w:r>
          </w:p>
          <w:tbl>
            <w:tblPr>
              <w:tblStyle w:val="Grilledutableau"/>
              <w:tblW w:w="5000" w:type="pct"/>
              <w:tblLook w:val="04A0" w:firstRow="1" w:lastRow="0" w:firstColumn="1" w:lastColumn="0" w:noHBand="0" w:noVBand="1"/>
            </w:tblPr>
            <w:tblGrid>
              <w:gridCol w:w="1144"/>
              <w:gridCol w:w="2359"/>
              <w:gridCol w:w="5621"/>
            </w:tblGrid>
            <w:tr w:rsidR="002531A4" w:rsidRPr="00556DD8" w14:paraId="4D049B4E" w14:textId="77777777" w:rsidTr="009C03C6">
              <w:trPr>
                <w:trHeight w:val="397"/>
              </w:trPr>
              <w:tc>
                <w:tcPr>
                  <w:tcW w:w="1148" w:type="dxa"/>
                </w:tcPr>
                <w:p w14:paraId="49FB2E60" w14:textId="77777777" w:rsidR="002531A4" w:rsidRPr="00556DD8" w:rsidRDefault="002531A4" w:rsidP="002531A4">
                  <w:pPr>
                    <w:suppressAutoHyphens/>
                    <w:spacing w:after="120"/>
                    <w:jc w:val="center"/>
                    <w:rPr>
                      <w:rFonts w:ascii="Arial Narrow" w:hAnsi="Arial Narrow" w:cs="Times New Roman"/>
                      <w:b/>
                      <w:bCs/>
                      <w:sz w:val="23"/>
                      <w:szCs w:val="23"/>
                    </w:rPr>
                  </w:pPr>
                  <w:proofErr w:type="spellStart"/>
                  <w:r w:rsidRPr="00556DD8">
                    <w:rPr>
                      <w:rFonts w:ascii="Arial Narrow" w:hAnsi="Arial Narrow" w:cs="Times New Roman"/>
                      <w:b/>
                      <w:bCs/>
                      <w:sz w:val="23"/>
                      <w:szCs w:val="23"/>
                    </w:rPr>
                    <w:t>Livrables</w:t>
                  </w:r>
                  <w:proofErr w:type="spellEnd"/>
                </w:p>
              </w:tc>
              <w:tc>
                <w:tcPr>
                  <w:tcW w:w="2396" w:type="dxa"/>
                </w:tcPr>
                <w:p w14:paraId="442EF184" w14:textId="77777777" w:rsidR="002531A4" w:rsidRPr="00556DD8" w:rsidRDefault="002531A4" w:rsidP="002531A4">
                  <w:pPr>
                    <w:suppressAutoHyphens/>
                    <w:spacing w:after="120"/>
                    <w:jc w:val="center"/>
                    <w:rPr>
                      <w:rFonts w:ascii="Arial Narrow" w:hAnsi="Arial Narrow" w:cs="Times New Roman"/>
                      <w:b/>
                      <w:bCs/>
                      <w:sz w:val="23"/>
                      <w:szCs w:val="23"/>
                    </w:rPr>
                  </w:pPr>
                  <w:proofErr w:type="spellStart"/>
                  <w:r w:rsidRPr="00556DD8">
                    <w:rPr>
                      <w:rFonts w:ascii="Arial Narrow" w:hAnsi="Arial Narrow" w:cs="Times New Roman"/>
                      <w:b/>
                      <w:bCs/>
                      <w:sz w:val="23"/>
                      <w:szCs w:val="23"/>
                    </w:rPr>
                    <w:t>Titre</w:t>
                  </w:r>
                  <w:proofErr w:type="spellEnd"/>
                </w:p>
              </w:tc>
              <w:tc>
                <w:tcPr>
                  <w:tcW w:w="5744" w:type="dxa"/>
                </w:tcPr>
                <w:p w14:paraId="57F42A38" w14:textId="77777777" w:rsidR="002531A4" w:rsidRPr="00556DD8" w:rsidRDefault="002531A4" w:rsidP="002531A4">
                  <w:pPr>
                    <w:suppressAutoHyphens/>
                    <w:spacing w:after="120"/>
                    <w:jc w:val="center"/>
                    <w:rPr>
                      <w:rFonts w:ascii="Arial Narrow" w:hAnsi="Arial Narrow" w:cs="Times New Roman"/>
                      <w:b/>
                      <w:bCs/>
                      <w:sz w:val="23"/>
                      <w:szCs w:val="23"/>
                    </w:rPr>
                  </w:pPr>
                  <w:proofErr w:type="spellStart"/>
                  <w:r w:rsidRPr="00556DD8">
                    <w:rPr>
                      <w:rFonts w:ascii="Arial Narrow" w:hAnsi="Arial Narrow" w:cs="Times New Roman"/>
                      <w:b/>
                      <w:bCs/>
                      <w:sz w:val="23"/>
                      <w:szCs w:val="23"/>
                    </w:rPr>
                    <w:t>Contenu</w:t>
                  </w:r>
                  <w:proofErr w:type="spellEnd"/>
                  <w:r w:rsidRPr="00556DD8">
                    <w:rPr>
                      <w:rFonts w:ascii="Arial Narrow" w:hAnsi="Arial Narrow" w:cs="Times New Roman"/>
                      <w:b/>
                      <w:bCs/>
                      <w:sz w:val="23"/>
                      <w:szCs w:val="23"/>
                    </w:rPr>
                    <w:t xml:space="preserve"> du </w:t>
                  </w:r>
                  <w:proofErr w:type="spellStart"/>
                  <w:r w:rsidRPr="00556DD8">
                    <w:rPr>
                      <w:rFonts w:ascii="Arial Narrow" w:hAnsi="Arial Narrow" w:cs="Times New Roman"/>
                      <w:b/>
                      <w:bCs/>
                      <w:sz w:val="23"/>
                      <w:szCs w:val="23"/>
                    </w:rPr>
                    <w:t>livrable</w:t>
                  </w:r>
                  <w:proofErr w:type="spellEnd"/>
                </w:p>
              </w:tc>
            </w:tr>
            <w:tr w:rsidR="002531A4" w:rsidRPr="007A63C4" w14:paraId="356469A5" w14:textId="77777777" w:rsidTr="009C03C6">
              <w:trPr>
                <w:trHeight w:val="397"/>
              </w:trPr>
              <w:tc>
                <w:tcPr>
                  <w:tcW w:w="1148" w:type="dxa"/>
                  <w:vAlign w:val="center"/>
                </w:tcPr>
                <w:p w14:paraId="44C6EDEE" w14:textId="77777777" w:rsidR="002531A4" w:rsidRPr="00556DD8" w:rsidRDefault="002531A4" w:rsidP="002531A4">
                  <w:pPr>
                    <w:spacing w:after="60"/>
                    <w:rPr>
                      <w:rFonts w:ascii="Arial Narrow" w:hAnsi="Arial Narrow" w:cs="Times New Roman"/>
                      <w:b/>
                      <w:bCs/>
                      <w:sz w:val="23"/>
                      <w:szCs w:val="23"/>
                    </w:rPr>
                  </w:pPr>
                  <w:proofErr w:type="spellStart"/>
                  <w:r w:rsidRPr="00556DD8">
                    <w:rPr>
                      <w:rFonts w:ascii="Arial Narrow" w:hAnsi="Arial Narrow" w:cs="Times New Roman"/>
                      <w:b/>
                      <w:bCs/>
                      <w:sz w:val="23"/>
                      <w:szCs w:val="23"/>
                    </w:rPr>
                    <w:t>Livrable</w:t>
                  </w:r>
                  <w:proofErr w:type="spellEnd"/>
                  <w:r w:rsidRPr="00556DD8">
                    <w:rPr>
                      <w:rFonts w:ascii="Arial Narrow" w:hAnsi="Arial Narrow" w:cs="Times New Roman"/>
                      <w:b/>
                      <w:bCs/>
                      <w:sz w:val="23"/>
                      <w:szCs w:val="23"/>
                    </w:rPr>
                    <w:t xml:space="preserve"> 1</w:t>
                  </w:r>
                </w:p>
              </w:tc>
              <w:tc>
                <w:tcPr>
                  <w:tcW w:w="2396" w:type="dxa"/>
                  <w:vAlign w:val="center"/>
                </w:tcPr>
                <w:p w14:paraId="1EA2A133" w14:textId="77777777" w:rsidR="002531A4" w:rsidRPr="00556DD8" w:rsidRDefault="002531A4" w:rsidP="002531A4">
                  <w:pPr>
                    <w:spacing w:after="60"/>
                    <w:rPr>
                      <w:rFonts w:ascii="Arial Narrow" w:hAnsi="Arial Narrow" w:cs="Times New Roman"/>
                      <w:b/>
                      <w:bCs/>
                      <w:sz w:val="23"/>
                      <w:szCs w:val="23"/>
                      <w:lang w:val="fr-FR"/>
                    </w:rPr>
                  </w:pPr>
                  <w:r w:rsidRPr="00556DD8">
                    <w:rPr>
                      <w:rFonts w:ascii="Arial Narrow" w:hAnsi="Arial Narrow" w:cs="Times New Roman"/>
                      <w:b/>
                      <w:bCs/>
                      <w:sz w:val="23"/>
                      <w:szCs w:val="23"/>
                      <w:lang w:val="fr-FR"/>
                    </w:rPr>
                    <w:t xml:space="preserve">Un rapport de démarrage </w:t>
                  </w:r>
                  <w:r w:rsidRPr="00556DD8">
                    <w:rPr>
                      <w:rFonts w:ascii="Arial Narrow" w:hAnsi="Arial Narrow" w:cs="Times New Roman"/>
                      <w:sz w:val="23"/>
                      <w:szCs w:val="23"/>
                      <w:lang w:val="fr-FR"/>
                    </w:rPr>
                    <w:t xml:space="preserve">(5 jours après la signature du </w:t>
                  </w:r>
                  <w:r w:rsidRPr="00556DD8">
                    <w:rPr>
                      <w:rFonts w:ascii="Arial Narrow" w:hAnsi="Arial Narrow" w:cs="Times New Roman"/>
                      <w:sz w:val="23"/>
                      <w:szCs w:val="23"/>
                      <w:lang w:val="fr-FR"/>
                    </w:rPr>
                    <w:lastRenderedPageBreak/>
                    <w:t>contrat</w:t>
                  </w:r>
                  <w:r>
                    <w:rPr>
                      <w:rFonts w:ascii="Arial Narrow" w:hAnsi="Arial Narrow" w:cs="Times New Roman"/>
                      <w:sz w:val="23"/>
                      <w:szCs w:val="23"/>
                      <w:lang w:val="fr-FR"/>
                    </w:rPr>
                    <w:t xml:space="preserve"> et la réunion de cadrage</w:t>
                  </w:r>
                  <w:r w:rsidRPr="00556DD8">
                    <w:rPr>
                      <w:rFonts w:ascii="Arial Narrow" w:hAnsi="Arial Narrow" w:cs="Times New Roman"/>
                      <w:sz w:val="23"/>
                      <w:szCs w:val="23"/>
                      <w:lang w:val="fr-FR"/>
                    </w:rPr>
                    <w:t>)</w:t>
                  </w:r>
                </w:p>
              </w:tc>
              <w:tc>
                <w:tcPr>
                  <w:tcW w:w="5744" w:type="dxa"/>
                </w:tcPr>
                <w:p w14:paraId="600EDDEB" w14:textId="77777777" w:rsidR="002531A4" w:rsidRPr="00556DD8" w:rsidRDefault="002531A4" w:rsidP="002531A4">
                  <w:pPr>
                    <w:suppressAutoHyphens/>
                    <w:spacing w:after="60"/>
                    <w:jc w:val="both"/>
                    <w:rPr>
                      <w:rFonts w:ascii="Arial Narrow" w:hAnsi="Arial Narrow" w:cs="Times New Roman"/>
                      <w:sz w:val="23"/>
                      <w:szCs w:val="23"/>
                      <w:lang w:val="fr-FR"/>
                    </w:rPr>
                  </w:pPr>
                  <w:r w:rsidRPr="00556DD8">
                    <w:rPr>
                      <w:rFonts w:ascii="Arial Narrow" w:hAnsi="Arial Narrow" w:cs="Times New Roman"/>
                      <w:color w:val="000000" w:themeColor="text1"/>
                      <w:sz w:val="23"/>
                      <w:szCs w:val="23"/>
                      <w:shd w:val="clear" w:color="auto" w:fill="FFFFFF"/>
                      <w:lang w:val="fr-FR"/>
                    </w:rPr>
                    <w:lastRenderedPageBreak/>
                    <w:t>Méthodologie, le plan de travail, le plan de traitement détaillé du sujet et le calendrier d’exécution après l’attribution du contrat</w:t>
                  </w:r>
                </w:p>
              </w:tc>
            </w:tr>
            <w:tr w:rsidR="002531A4" w:rsidRPr="007A63C4" w14:paraId="3D0DA97A" w14:textId="77777777" w:rsidTr="009C03C6">
              <w:trPr>
                <w:trHeight w:val="397"/>
              </w:trPr>
              <w:tc>
                <w:tcPr>
                  <w:tcW w:w="1148" w:type="dxa"/>
                  <w:vAlign w:val="center"/>
                </w:tcPr>
                <w:p w14:paraId="6835C0A5" w14:textId="77777777" w:rsidR="002531A4" w:rsidRPr="00556DD8" w:rsidRDefault="002531A4" w:rsidP="002531A4">
                  <w:pPr>
                    <w:spacing w:after="60"/>
                    <w:rPr>
                      <w:rFonts w:ascii="Arial Narrow" w:hAnsi="Arial Narrow" w:cs="Times New Roman"/>
                      <w:b/>
                      <w:bCs/>
                      <w:sz w:val="23"/>
                      <w:szCs w:val="23"/>
                    </w:rPr>
                  </w:pPr>
                  <w:proofErr w:type="spellStart"/>
                  <w:r w:rsidRPr="00556DD8">
                    <w:rPr>
                      <w:rFonts w:ascii="Arial Narrow" w:hAnsi="Arial Narrow" w:cs="Times New Roman"/>
                      <w:b/>
                      <w:bCs/>
                      <w:sz w:val="23"/>
                      <w:szCs w:val="23"/>
                    </w:rPr>
                    <w:t>Livrable</w:t>
                  </w:r>
                  <w:proofErr w:type="spellEnd"/>
                  <w:r w:rsidRPr="00556DD8">
                    <w:rPr>
                      <w:rFonts w:ascii="Arial Narrow" w:hAnsi="Arial Narrow" w:cs="Times New Roman"/>
                      <w:b/>
                      <w:bCs/>
                      <w:sz w:val="23"/>
                      <w:szCs w:val="23"/>
                    </w:rPr>
                    <w:t xml:space="preserve"> 2</w:t>
                  </w:r>
                </w:p>
              </w:tc>
              <w:tc>
                <w:tcPr>
                  <w:tcW w:w="2396" w:type="dxa"/>
                  <w:vAlign w:val="center"/>
                </w:tcPr>
                <w:p w14:paraId="712C74BF" w14:textId="77777777" w:rsidR="002531A4" w:rsidRPr="00556DD8" w:rsidRDefault="002531A4" w:rsidP="002531A4">
                  <w:pPr>
                    <w:suppressAutoHyphens/>
                    <w:spacing w:after="60"/>
                    <w:rPr>
                      <w:rFonts w:ascii="Arial Narrow" w:hAnsi="Arial Narrow" w:cs="Times New Roman"/>
                      <w:color w:val="000000" w:themeColor="text1"/>
                      <w:sz w:val="23"/>
                      <w:szCs w:val="23"/>
                      <w:shd w:val="clear" w:color="auto" w:fill="FFFFFF"/>
                      <w:lang w:val="fr-FR"/>
                    </w:rPr>
                  </w:pPr>
                  <w:r w:rsidRPr="00556DD8">
                    <w:rPr>
                      <w:rFonts w:ascii="Arial Narrow" w:hAnsi="Arial Narrow" w:cs="Times New Roman"/>
                      <w:b/>
                      <w:bCs/>
                      <w:sz w:val="23"/>
                      <w:szCs w:val="23"/>
                      <w:lang w:val="fr-FR"/>
                    </w:rPr>
                    <w:t xml:space="preserve">Rapport provisoire </w:t>
                  </w:r>
                  <w:r w:rsidRPr="00556DD8">
                    <w:rPr>
                      <w:rFonts w:ascii="Arial Narrow" w:hAnsi="Arial Narrow" w:cs="Times New Roman"/>
                      <w:sz w:val="23"/>
                      <w:szCs w:val="23"/>
                      <w:lang w:val="fr-FR"/>
                    </w:rPr>
                    <w:t>(25 jours après la validation du rapport de démarrage)</w:t>
                  </w:r>
                </w:p>
              </w:tc>
              <w:tc>
                <w:tcPr>
                  <w:tcW w:w="5744" w:type="dxa"/>
                </w:tcPr>
                <w:p w14:paraId="5187B86D" w14:textId="77777777" w:rsidR="002531A4" w:rsidRDefault="002531A4" w:rsidP="002531A4">
                  <w:pPr>
                    <w:suppressAutoHyphens/>
                    <w:spacing w:after="0"/>
                    <w:jc w:val="both"/>
                    <w:rPr>
                      <w:rFonts w:ascii="Arial Narrow" w:hAnsi="Arial Narrow" w:cs="Times New Roman"/>
                      <w:color w:val="000000" w:themeColor="text1"/>
                      <w:sz w:val="23"/>
                      <w:szCs w:val="23"/>
                      <w:shd w:val="clear" w:color="auto" w:fill="FFFFFF"/>
                      <w:lang w:val="fr-FR"/>
                    </w:rPr>
                  </w:pPr>
                  <w:r w:rsidRPr="00556DD8">
                    <w:rPr>
                      <w:rFonts w:ascii="Arial Narrow" w:hAnsi="Arial Narrow" w:cs="Times New Roman"/>
                      <w:color w:val="000000" w:themeColor="text1"/>
                      <w:sz w:val="23"/>
                      <w:szCs w:val="23"/>
                      <w:shd w:val="clear" w:color="auto" w:fill="FFFFFF"/>
                      <w:lang w:val="fr-FR"/>
                    </w:rPr>
                    <w:t xml:space="preserve">Le rapport provisoire inclut l’analyse de l’écosystème de l’entreprenariat en termes de financement avec un focus sur l’entreprenariat féminin, l’analyse de données collectées, le classement des </w:t>
                  </w:r>
                  <w:r>
                    <w:rPr>
                      <w:rFonts w:ascii="Arial Narrow" w:hAnsi="Arial Narrow" w:cs="Times New Roman"/>
                      <w:color w:val="000000" w:themeColor="text1"/>
                      <w:sz w:val="23"/>
                      <w:szCs w:val="23"/>
                      <w:shd w:val="clear" w:color="auto" w:fill="FFFFFF"/>
                      <w:lang w:val="fr-FR"/>
                    </w:rPr>
                    <w:t>établissements financiers</w:t>
                  </w:r>
                  <w:r w:rsidRPr="00556DD8">
                    <w:rPr>
                      <w:rFonts w:ascii="Arial Narrow" w:hAnsi="Arial Narrow" w:cs="Times New Roman"/>
                      <w:color w:val="000000" w:themeColor="text1"/>
                      <w:sz w:val="23"/>
                      <w:szCs w:val="23"/>
                      <w:shd w:val="clear" w:color="auto" w:fill="FFFFFF"/>
                      <w:lang w:val="fr-FR"/>
                    </w:rPr>
                    <w:t xml:space="preserve"> étudiés selon leur sensibilité au genre et des recommandations pour un financement accru de l’entreprenariat féminin. Le/la consultant(e) doit s’assurer que tous les éléments énumérés dans les présents </w:t>
                  </w:r>
                  <w:r>
                    <w:rPr>
                      <w:rFonts w:ascii="Arial Narrow" w:hAnsi="Arial Narrow" w:cs="Times New Roman"/>
                      <w:color w:val="000000" w:themeColor="text1"/>
                      <w:sz w:val="23"/>
                      <w:szCs w:val="23"/>
                      <w:shd w:val="clear" w:color="auto" w:fill="FFFFFF"/>
                      <w:lang w:val="fr-FR"/>
                    </w:rPr>
                    <w:t>TDR</w:t>
                  </w:r>
                  <w:r w:rsidRPr="00556DD8">
                    <w:rPr>
                      <w:rFonts w:ascii="Arial Narrow" w:hAnsi="Arial Narrow" w:cs="Times New Roman"/>
                      <w:color w:val="000000" w:themeColor="text1"/>
                      <w:sz w:val="23"/>
                      <w:szCs w:val="23"/>
                      <w:shd w:val="clear" w:color="auto" w:fill="FFFFFF"/>
                      <w:lang w:val="fr-FR"/>
                    </w:rPr>
                    <w:t xml:space="preserve"> figurent bien dans le rapport provisoire. </w:t>
                  </w:r>
                </w:p>
                <w:p w14:paraId="5EBAFCF2" w14:textId="77777777" w:rsidR="002531A4" w:rsidRDefault="002531A4" w:rsidP="002531A4">
                  <w:pPr>
                    <w:suppressAutoHyphens/>
                    <w:spacing w:after="0"/>
                    <w:jc w:val="both"/>
                    <w:rPr>
                      <w:rFonts w:ascii="Arial Narrow" w:hAnsi="Arial Narrow" w:cs="Times New Roman"/>
                      <w:color w:val="000000" w:themeColor="text1"/>
                      <w:sz w:val="23"/>
                      <w:szCs w:val="23"/>
                      <w:shd w:val="clear" w:color="auto" w:fill="FFFFFF"/>
                      <w:lang w:val="fr-FR"/>
                    </w:rPr>
                  </w:pPr>
                </w:p>
                <w:p w14:paraId="4686B777" w14:textId="77777777" w:rsidR="002531A4" w:rsidRDefault="002531A4" w:rsidP="002531A4">
                  <w:pPr>
                    <w:suppressAutoHyphens/>
                    <w:spacing w:after="0"/>
                    <w:jc w:val="both"/>
                    <w:rPr>
                      <w:rFonts w:ascii="Arial Narrow" w:hAnsi="Arial Narrow" w:cs="Times New Roman"/>
                      <w:color w:val="000000" w:themeColor="text1"/>
                      <w:sz w:val="23"/>
                      <w:szCs w:val="23"/>
                      <w:shd w:val="clear" w:color="auto" w:fill="FFFFFF"/>
                      <w:lang w:val="fr-FR"/>
                    </w:rPr>
                  </w:pPr>
                  <w:r w:rsidRPr="00556DD8">
                    <w:rPr>
                      <w:rFonts w:ascii="Arial Narrow" w:hAnsi="Arial Narrow" w:cs="Times New Roman"/>
                      <w:color w:val="000000" w:themeColor="text1"/>
                      <w:sz w:val="23"/>
                      <w:szCs w:val="23"/>
                      <w:shd w:val="clear" w:color="auto" w:fill="FFFFFF"/>
                      <w:lang w:val="fr-FR"/>
                    </w:rPr>
                    <w:t>Le/la consultant(e)</w:t>
                  </w:r>
                  <w:r>
                    <w:rPr>
                      <w:rFonts w:ascii="Arial Narrow" w:hAnsi="Arial Narrow" w:cs="Times New Roman"/>
                      <w:color w:val="000000" w:themeColor="text1"/>
                      <w:sz w:val="23"/>
                      <w:szCs w:val="23"/>
                      <w:shd w:val="clear" w:color="auto" w:fill="FFFFFF"/>
                      <w:lang w:val="fr-FR"/>
                    </w:rPr>
                    <w:t xml:space="preserve"> s’assurera que le rapport est bien présenté (avec des éléments de design facilitant la visualisation des résultats de l’étude, notamment la présentation des indicateurs, indicateurs, indices et classements), que la syntaxe et l’orthographe sont parfaits. </w:t>
                  </w:r>
                </w:p>
                <w:p w14:paraId="39392B1F" w14:textId="77777777" w:rsidR="002531A4" w:rsidRDefault="002531A4" w:rsidP="002531A4">
                  <w:pPr>
                    <w:suppressAutoHyphens/>
                    <w:spacing w:after="0"/>
                    <w:jc w:val="both"/>
                    <w:rPr>
                      <w:rFonts w:ascii="Arial Narrow" w:hAnsi="Arial Narrow" w:cs="Times New Roman"/>
                      <w:color w:val="000000" w:themeColor="text1"/>
                      <w:sz w:val="23"/>
                      <w:szCs w:val="23"/>
                      <w:shd w:val="clear" w:color="auto" w:fill="FFFFFF"/>
                      <w:lang w:val="fr-FR"/>
                    </w:rPr>
                  </w:pPr>
                </w:p>
                <w:p w14:paraId="61380466" w14:textId="77777777" w:rsidR="002531A4" w:rsidRPr="00556DD8" w:rsidRDefault="002531A4" w:rsidP="002531A4">
                  <w:pPr>
                    <w:suppressAutoHyphens/>
                    <w:spacing w:after="60"/>
                    <w:jc w:val="both"/>
                    <w:rPr>
                      <w:rFonts w:ascii="Arial Narrow" w:hAnsi="Arial Narrow" w:cs="Times New Roman"/>
                      <w:color w:val="000000" w:themeColor="text1"/>
                      <w:sz w:val="23"/>
                      <w:szCs w:val="23"/>
                      <w:shd w:val="clear" w:color="auto" w:fill="FFFFFF"/>
                      <w:lang w:val="fr-FR"/>
                    </w:rPr>
                  </w:pPr>
                  <w:r w:rsidRPr="00556DD8">
                    <w:rPr>
                      <w:rFonts w:ascii="Arial Narrow" w:hAnsi="Arial Narrow" w:cs="Times New Roman"/>
                      <w:color w:val="000000" w:themeColor="text1"/>
                      <w:sz w:val="23"/>
                      <w:szCs w:val="23"/>
                      <w:shd w:val="clear" w:color="auto" w:fill="FFFFFF"/>
                      <w:lang w:val="fr-FR"/>
                    </w:rPr>
                    <w:t>Le/la consultant(e)</w:t>
                  </w:r>
                  <w:r>
                    <w:rPr>
                      <w:rFonts w:ascii="Arial Narrow" w:hAnsi="Arial Narrow" w:cs="Times New Roman"/>
                      <w:color w:val="000000" w:themeColor="text1"/>
                      <w:sz w:val="23"/>
                      <w:szCs w:val="23"/>
                      <w:shd w:val="clear" w:color="auto" w:fill="FFFFFF"/>
                      <w:lang w:val="fr-FR"/>
                    </w:rPr>
                    <w:t xml:space="preserve"> pourra s’appuyer sur le Chargé de communication du PNUD pour assurer une bonne présentation visuelle du rapport (provisoire et final). </w:t>
                  </w:r>
                </w:p>
              </w:tc>
            </w:tr>
            <w:tr w:rsidR="002531A4" w:rsidRPr="007A63C4" w14:paraId="2313462B" w14:textId="77777777" w:rsidTr="009C03C6">
              <w:trPr>
                <w:trHeight w:val="397"/>
              </w:trPr>
              <w:tc>
                <w:tcPr>
                  <w:tcW w:w="1148" w:type="dxa"/>
                  <w:vAlign w:val="center"/>
                </w:tcPr>
                <w:p w14:paraId="502B80CA" w14:textId="77777777" w:rsidR="002531A4" w:rsidRPr="00556DD8" w:rsidRDefault="002531A4" w:rsidP="002531A4">
                  <w:pPr>
                    <w:spacing w:after="60"/>
                    <w:rPr>
                      <w:rFonts w:ascii="Arial Narrow" w:hAnsi="Arial Narrow" w:cs="Times New Roman"/>
                      <w:b/>
                      <w:bCs/>
                      <w:sz w:val="23"/>
                      <w:szCs w:val="23"/>
                      <w:lang w:val="fr-FR"/>
                    </w:rPr>
                  </w:pPr>
                  <w:r w:rsidRPr="00556DD8">
                    <w:rPr>
                      <w:rFonts w:ascii="Arial Narrow" w:hAnsi="Arial Narrow" w:cs="Times New Roman"/>
                      <w:b/>
                      <w:bCs/>
                      <w:sz w:val="23"/>
                      <w:szCs w:val="23"/>
                      <w:lang w:val="fr-FR"/>
                    </w:rPr>
                    <w:t>Livrable 3</w:t>
                  </w:r>
                </w:p>
              </w:tc>
              <w:tc>
                <w:tcPr>
                  <w:tcW w:w="2396" w:type="dxa"/>
                  <w:vAlign w:val="center"/>
                </w:tcPr>
                <w:p w14:paraId="2FF8AC8F" w14:textId="77777777" w:rsidR="002531A4" w:rsidRPr="00556DD8" w:rsidRDefault="002531A4" w:rsidP="002531A4">
                  <w:pPr>
                    <w:spacing w:after="60"/>
                    <w:rPr>
                      <w:rFonts w:ascii="Arial Narrow" w:hAnsi="Arial Narrow" w:cs="Times New Roman"/>
                      <w:sz w:val="23"/>
                      <w:szCs w:val="23"/>
                      <w:lang w:val="fr-FR"/>
                    </w:rPr>
                  </w:pPr>
                  <w:r w:rsidRPr="00556DD8">
                    <w:rPr>
                      <w:rFonts w:ascii="Arial Narrow" w:hAnsi="Arial Narrow" w:cs="Times New Roman"/>
                      <w:b/>
                      <w:bCs/>
                      <w:sz w:val="23"/>
                      <w:szCs w:val="23"/>
                      <w:lang w:val="fr-FR"/>
                    </w:rPr>
                    <w:t xml:space="preserve">Un rapport final </w:t>
                  </w:r>
                  <w:r w:rsidRPr="00556DD8">
                    <w:rPr>
                      <w:rFonts w:ascii="Arial Narrow" w:hAnsi="Arial Narrow" w:cs="Times New Roman"/>
                      <w:sz w:val="23"/>
                      <w:szCs w:val="23"/>
                      <w:lang w:val="fr-FR"/>
                    </w:rPr>
                    <w:t>(5 jours après l’atelier de validation du rapport provisoire)</w:t>
                  </w:r>
                </w:p>
              </w:tc>
              <w:tc>
                <w:tcPr>
                  <w:tcW w:w="5744" w:type="dxa"/>
                </w:tcPr>
                <w:p w14:paraId="7200C85B" w14:textId="77777777" w:rsidR="002531A4" w:rsidRPr="00556DD8" w:rsidRDefault="002531A4" w:rsidP="002531A4">
                  <w:pPr>
                    <w:suppressAutoHyphens/>
                    <w:spacing w:after="60"/>
                    <w:jc w:val="both"/>
                    <w:rPr>
                      <w:rFonts w:ascii="Arial Narrow" w:hAnsi="Arial Narrow" w:cs="Times New Roman"/>
                      <w:sz w:val="23"/>
                      <w:szCs w:val="23"/>
                      <w:lang w:val="fr-FR"/>
                    </w:rPr>
                  </w:pPr>
                  <w:r w:rsidRPr="00556DD8">
                    <w:rPr>
                      <w:rFonts w:ascii="Arial Narrow" w:hAnsi="Arial Narrow" w:cs="Times New Roman"/>
                      <w:sz w:val="23"/>
                      <w:szCs w:val="23"/>
                      <w:lang w:val="fr-FR"/>
                    </w:rPr>
                    <w:t>Ce rapport intègre les recommandations/ suggestions/ commentaires faits lors de l’atelier de validation. Il est aussi attendu le support de communication du rapport final (en format PowerPoint) et la base de données (dans une clé USB).</w:t>
                  </w:r>
                </w:p>
              </w:tc>
            </w:tr>
          </w:tbl>
          <w:p w14:paraId="0661CD29" w14:textId="283224B3" w:rsidR="002531A4" w:rsidRPr="002531A4" w:rsidRDefault="002531A4" w:rsidP="002531A4">
            <w:pPr>
              <w:jc w:val="both"/>
              <w:rPr>
                <w:rFonts w:ascii="Arial Narrow" w:hAnsi="Arial Narrow"/>
                <w:lang w:val="fr-FR"/>
              </w:rPr>
            </w:pPr>
          </w:p>
        </w:tc>
      </w:tr>
      <w:tr w:rsidR="00B164AB" w:rsidRPr="007A63C4" w14:paraId="2866F411" w14:textId="77777777" w:rsidTr="009C03C6">
        <w:trPr>
          <w:trHeight w:val="309"/>
          <w:jc w:val="center"/>
        </w:trPr>
        <w:tc>
          <w:tcPr>
            <w:tcW w:w="5000" w:type="pct"/>
            <w:shd w:val="clear" w:color="auto" w:fill="000080"/>
            <w:vAlign w:val="center"/>
          </w:tcPr>
          <w:p w14:paraId="69C43D0C" w14:textId="77777777" w:rsidR="00B164AB" w:rsidRPr="009E7090" w:rsidRDefault="00B164AB" w:rsidP="009C03C6">
            <w:pPr>
              <w:spacing w:line="252" w:lineRule="auto"/>
              <w:rPr>
                <w:rFonts w:ascii="Arial Narrow" w:hAnsi="Arial Narrow"/>
                <w:b/>
                <w:bCs/>
                <w:lang w:val="fr-FR"/>
              </w:rPr>
            </w:pPr>
            <w:r w:rsidRPr="009E7090">
              <w:rPr>
                <w:rFonts w:ascii="Arial Narrow" w:hAnsi="Arial Narrow"/>
                <w:b/>
                <w:bCs/>
                <w:lang w:val="fr-FR"/>
              </w:rPr>
              <w:lastRenderedPageBreak/>
              <w:t xml:space="preserve">VI. Durée de la mission  </w:t>
            </w:r>
          </w:p>
        </w:tc>
      </w:tr>
      <w:tr w:rsidR="00B164AB" w:rsidRPr="007A63C4" w14:paraId="7AE6651F" w14:textId="77777777" w:rsidTr="009C03C6">
        <w:trPr>
          <w:trHeight w:val="309"/>
          <w:jc w:val="center"/>
        </w:trPr>
        <w:tc>
          <w:tcPr>
            <w:tcW w:w="5000" w:type="pct"/>
            <w:shd w:val="clear" w:color="auto" w:fill="auto"/>
            <w:vAlign w:val="center"/>
          </w:tcPr>
          <w:p w14:paraId="10ADE993" w14:textId="7E5BA0F6" w:rsidR="00B164AB" w:rsidRPr="009E7090" w:rsidRDefault="00B164AB" w:rsidP="009C03C6">
            <w:pPr>
              <w:pStyle w:val="Default"/>
              <w:rPr>
                <w:rFonts w:ascii="Arial Narrow" w:hAnsi="Arial Narrow"/>
                <w:b/>
                <w:bCs/>
                <w:color w:val="auto"/>
                <w:sz w:val="22"/>
                <w:szCs w:val="22"/>
              </w:rPr>
            </w:pPr>
            <w:r w:rsidRPr="009E7090">
              <w:rPr>
                <w:rFonts w:ascii="Arial Narrow" w:eastAsia="Arial" w:hAnsi="Arial Narrow"/>
                <w:color w:val="auto"/>
                <w:sz w:val="22"/>
                <w:szCs w:val="22"/>
                <w:lang w:eastAsia="fr-FR" w:bidi="fr-FR"/>
              </w:rPr>
              <w:t xml:space="preserve">La durée de la mission est de </w:t>
            </w:r>
            <w:r w:rsidR="002531A4">
              <w:rPr>
                <w:rFonts w:ascii="Arial Narrow" w:eastAsia="Arial" w:hAnsi="Arial Narrow"/>
                <w:color w:val="auto"/>
                <w:sz w:val="22"/>
                <w:szCs w:val="22"/>
                <w:lang w:eastAsia="fr-FR" w:bidi="fr-FR"/>
              </w:rPr>
              <w:t>trente-cinq</w:t>
            </w:r>
            <w:r w:rsidRPr="009E7090">
              <w:rPr>
                <w:rFonts w:ascii="Arial Narrow" w:eastAsia="Arial" w:hAnsi="Arial Narrow"/>
                <w:color w:val="auto"/>
                <w:sz w:val="22"/>
                <w:szCs w:val="22"/>
                <w:lang w:eastAsia="fr-FR" w:bidi="fr-FR"/>
              </w:rPr>
              <w:t xml:space="preserve"> (</w:t>
            </w:r>
            <w:r>
              <w:rPr>
                <w:rFonts w:ascii="Arial Narrow" w:eastAsia="Arial" w:hAnsi="Arial Narrow"/>
                <w:color w:val="auto"/>
                <w:sz w:val="22"/>
                <w:szCs w:val="22"/>
                <w:lang w:eastAsia="fr-FR" w:bidi="fr-FR"/>
              </w:rPr>
              <w:t>3</w:t>
            </w:r>
            <w:r w:rsidR="002531A4">
              <w:rPr>
                <w:rFonts w:ascii="Arial Narrow" w:eastAsia="Arial" w:hAnsi="Arial Narrow"/>
                <w:color w:val="auto"/>
                <w:sz w:val="22"/>
                <w:szCs w:val="22"/>
                <w:lang w:eastAsia="fr-FR" w:bidi="fr-FR"/>
              </w:rPr>
              <w:t>5</w:t>
            </w:r>
            <w:r w:rsidRPr="009E7090">
              <w:rPr>
                <w:rFonts w:ascii="Arial Narrow" w:eastAsia="Arial" w:hAnsi="Arial Narrow"/>
                <w:color w:val="auto"/>
                <w:sz w:val="22"/>
                <w:szCs w:val="22"/>
                <w:lang w:eastAsia="fr-FR" w:bidi="fr-FR"/>
              </w:rPr>
              <w:t>) jours</w:t>
            </w:r>
            <w:r>
              <w:rPr>
                <w:rFonts w:ascii="Arial Narrow" w:eastAsia="Arial" w:hAnsi="Arial Narrow"/>
                <w:color w:val="auto"/>
                <w:sz w:val="22"/>
                <w:szCs w:val="22"/>
                <w:lang w:eastAsia="fr-FR" w:bidi="fr-FR"/>
              </w:rPr>
              <w:t xml:space="preserve"> ouvrables</w:t>
            </w:r>
            <w:r w:rsidR="002531A4">
              <w:rPr>
                <w:rFonts w:ascii="Arial Narrow" w:eastAsia="Arial" w:hAnsi="Arial Narrow"/>
                <w:color w:val="auto"/>
                <w:sz w:val="22"/>
                <w:szCs w:val="22"/>
                <w:lang w:eastAsia="fr-FR" w:bidi="fr-FR"/>
              </w:rPr>
              <w:t>.</w:t>
            </w:r>
            <w:r w:rsidRPr="009E7090">
              <w:rPr>
                <w:rFonts w:ascii="Arial Narrow" w:eastAsia="Arial" w:hAnsi="Arial Narrow"/>
                <w:color w:val="auto"/>
                <w:sz w:val="22"/>
                <w:szCs w:val="22"/>
                <w:lang w:eastAsia="fr-FR" w:bidi="fr-FR"/>
              </w:rPr>
              <w:t xml:space="preserve"> </w:t>
            </w:r>
          </w:p>
        </w:tc>
      </w:tr>
      <w:tr w:rsidR="00B164AB" w:rsidRPr="007A63C4" w14:paraId="7E9EE5E0" w14:textId="77777777" w:rsidTr="009C03C6">
        <w:trPr>
          <w:trHeight w:val="309"/>
          <w:jc w:val="center"/>
        </w:trPr>
        <w:tc>
          <w:tcPr>
            <w:tcW w:w="5000" w:type="pct"/>
            <w:shd w:val="clear" w:color="auto" w:fill="000080"/>
            <w:vAlign w:val="center"/>
          </w:tcPr>
          <w:p w14:paraId="73C2435B" w14:textId="376D10D0" w:rsidR="00B164AB" w:rsidRPr="009E7090" w:rsidRDefault="00B164AB" w:rsidP="009C03C6">
            <w:pPr>
              <w:spacing w:line="252" w:lineRule="auto"/>
              <w:rPr>
                <w:rFonts w:ascii="Arial Narrow" w:hAnsi="Arial Narrow"/>
                <w:b/>
                <w:bCs/>
                <w:lang w:val="fr-FR"/>
              </w:rPr>
            </w:pPr>
            <w:r w:rsidRPr="009E7090">
              <w:rPr>
                <w:rFonts w:ascii="Arial Narrow" w:hAnsi="Arial Narrow"/>
                <w:b/>
                <w:bCs/>
                <w:lang w:val="fr-FR"/>
              </w:rPr>
              <w:t xml:space="preserve">VII. </w:t>
            </w:r>
            <w:r w:rsidR="002531A4">
              <w:rPr>
                <w:rFonts w:ascii="Arial Narrow" w:hAnsi="Arial Narrow"/>
                <w:b/>
                <w:bCs/>
                <w:lang w:val="fr-FR"/>
              </w:rPr>
              <w:t xml:space="preserve">Qualifications et compétences </w:t>
            </w:r>
            <w:r w:rsidR="00E52E86">
              <w:rPr>
                <w:rFonts w:ascii="Arial Narrow" w:hAnsi="Arial Narrow"/>
                <w:b/>
                <w:bCs/>
                <w:lang w:val="fr-FR"/>
              </w:rPr>
              <w:t>requises</w:t>
            </w:r>
          </w:p>
        </w:tc>
      </w:tr>
      <w:tr w:rsidR="00B164AB" w:rsidRPr="007A63C4" w14:paraId="6AF443C6" w14:textId="77777777" w:rsidTr="009C03C6">
        <w:trPr>
          <w:cantSplit/>
          <w:trHeight w:val="2112"/>
          <w:jc w:val="center"/>
        </w:trPr>
        <w:tc>
          <w:tcPr>
            <w:tcW w:w="5000" w:type="pct"/>
          </w:tcPr>
          <w:p w14:paraId="18981658" w14:textId="77777777" w:rsidR="002531A4" w:rsidRPr="00D65365" w:rsidRDefault="002531A4" w:rsidP="002531A4">
            <w:pPr>
              <w:pStyle w:val="Paragraphedeliste"/>
              <w:numPr>
                <w:ilvl w:val="0"/>
                <w:numId w:val="12"/>
              </w:numPr>
              <w:spacing w:line="288" w:lineRule="auto"/>
              <w:ind w:left="284" w:hanging="284"/>
              <w:jc w:val="both"/>
              <w:rPr>
                <w:rFonts w:ascii="Arial Narrow" w:hAnsi="Arial Narrow" w:cs="Times New Roman"/>
                <w:b/>
                <w:bCs/>
                <w:sz w:val="24"/>
                <w:szCs w:val="24"/>
                <w:u w:val="single"/>
                <w:lang w:val="fr-FR"/>
              </w:rPr>
            </w:pPr>
            <w:r w:rsidRPr="00D65365">
              <w:rPr>
                <w:rFonts w:ascii="Arial Narrow" w:hAnsi="Arial Narrow" w:cs="Times New Roman"/>
                <w:b/>
                <w:bCs/>
                <w:sz w:val="24"/>
                <w:szCs w:val="24"/>
                <w:u w:val="single"/>
                <w:lang w:val="fr-FR"/>
              </w:rPr>
              <w:t>Education :</w:t>
            </w:r>
          </w:p>
          <w:p w14:paraId="4FA4A424" w14:textId="61B1A504" w:rsidR="002531A4" w:rsidRPr="002531A4" w:rsidRDefault="002531A4" w:rsidP="002531A4">
            <w:pPr>
              <w:pStyle w:val="Paragraphedeliste"/>
              <w:numPr>
                <w:ilvl w:val="0"/>
                <w:numId w:val="10"/>
              </w:numPr>
              <w:tabs>
                <w:tab w:val="left" w:pos="284"/>
                <w:tab w:val="left" w:pos="426"/>
              </w:tabs>
              <w:spacing w:after="0"/>
              <w:ind w:hanging="294"/>
              <w:jc w:val="both"/>
              <w:rPr>
                <w:rFonts w:ascii="Arial Narrow" w:hAnsi="Arial Narrow" w:cs="Times New Roman"/>
                <w:sz w:val="24"/>
                <w:szCs w:val="24"/>
                <w:lang w:val="fr-FR"/>
              </w:rPr>
            </w:pPr>
            <w:bookmarkStart w:id="0" w:name="_Hlk68772966"/>
            <w:r w:rsidRPr="00D65365">
              <w:rPr>
                <w:rFonts w:ascii="Arial Narrow" w:hAnsi="Arial Narrow" w:cs="Times New Roman"/>
                <w:color w:val="000000"/>
                <w:sz w:val="24"/>
                <w:szCs w:val="24"/>
                <w:lang w:val="fr-FR"/>
              </w:rPr>
              <w:t>Avoir</w:t>
            </w:r>
            <w:r w:rsidRPr="00D65365">
              <w:rPr>
                <w:rFonts w:ascii="Arial Narrow" w:hAnsi="Arial Narrow" w:cs="Times New Roman"/>
                <w:sz w:val="24"/>
                <w:szCs w:val="24"/>
                <w:lang w:val="fr-FR"/>
              </w:rPr>
              <w:t xml:space="preserve"> un diplôme de niveau minimum équivalent au Master </w:t>
            </w:r>
            <w:r>
              <w:rPr>
                <w:rFonts w:ascii="Arial Narrow" w:hAnsi="Arial Narrow" w:cs="Times New Roman"/>
                <w:sz w:val="24"/>
                <w:szCs w:val="24"/>
                <w:lang w:val="fr-FR"/>
              </w:rPr>
              <w:t xml:space="preserve">2 </w:t>
            </w:r>
            <w:r w:rsidRPr="00D65365">
              <w:rPr>
                <w:rFonts w:ascii="Arial Narrow" w:hAnsi="Arial Narrow" w:cs="Times New Roman"/>
                <w:sz w:val="24"/>
                <w:szCs w:val="24"/>
                <w:lang w:val="fr-FR"/>
              </w:rPr>
              <w:t>en</w:t>
            </w:r>
            <w:bookmarkEnd w:id="0"/>
            <w:r w:rsidRPr="00D65365">
              <w:rPr>
                <w:rFonts w:ascii="Arial Narrow" w:hAnsi="Arial Narrow" w:cs="Times New Roman"/>
                <w:sz w:val="24"/>
                <w:szCs w:val="24"/>
                <w:lang w:val="fr-FR"/>
              </w:rPr>
              <w:t xml:space="preserve"> économie, </w:t>
            </w:r>
            <w:r>
              <w:rPr>
                <w:rFonts w:ascii="Arial Narrow" w:hAnsi="Arial Narrow" w:cs="Times New Roman"/>
                <w:sz w:val="24"/>
                <w:szCs w:val="24"/>
                <w:lang w:val="fr-FR"/>
              </w:rPr>
              <w:t>finance, entreprenariat</w:t>
            </w:r>
            <w:r w:rsidRPr="00D65365">
              <w:rPr>
                <w:rFonts w:ascii="Arial Narrow" w:hAnsi="Arial Narrow" w:cs="Times New Roman"/>
                <w:sz w:val="24"/>
                <w:szCs w:val="24"/>
                <w:lang w:val="fr-FR"/>
              </w:rPr>
              <w:t xml:space="preserve"> ou tout autre diplôme équivalent</w:t>
            </w:r>
            <w:r>
              <w:rPr>
                <w:rFonts w:ascii="Arial Narrow" w:hAnsi="Arial Narrow" w:cs="Times New Roman"/>
                <w:sz w:val="24"/>
                <w:szCs w:val="24"/>
                <w:lang w:val="fr-FR"/>
              </w:rPr>
              <w:t>.</w:t>
            </w:r>
          </w:p>
          <w:p w14:paraId="7A39E45F" w14:textId="77777777" w:rsidR="002531A4" w:rsidRPr="00D65365" w:rsidRDefault="002531A4" w:rsidP="002531A4">
            <w:pPr>
              <w:pStyle w:val="Paragraphedeliste"/>
              <w:numPr>
                <w:ilvl w:val="0"/>
                <w:numId w:val="12"/>
              </w:numPr>
              <w:spacing w:after="120" w:line="288" w:lineRule="auto"/>
              <w:ind w:left="284" w:hanging="284"/>
              <w:contextualSpacing w:val="0"/>
              <w:jc w:val="both"/>
              <w:rPr>
                <w:rFonts w:ascii="Arial Narrow" w:hAnsi="Arial Narrow" w:cs="Times New Roman"/>
                <w:b/>
                <w:bCs/>
                <w:sz w:val="24"/>
                <w:szCs w:val="24"/>
                <w:u w:val="single"/>
                <w:lang w:val="fr-FR"/>
              </w:rPr>
            </w:pPr>
            <w:r w:rsidRPr="00D65365">
              <w:rPr>
                <w:rFonts w:ascii="Arial Narrow" w:hAnsi="Arial Narrow" w:cs="Times New Roman"/>
                <w:b/>
                <w:bCs/>
                <w:sz w:val="24"/>
                <w:szCs w:val="24"/>
                <w:u w:val="single"/>
                <w:lang w:val="fr-FR"/>
              </w:rPr>
              <w:t>Expérience professionnelle et qualifications requises :</w:t>
            </w:r>
          </w:p>
          <w:p w14:paraId="19FB14EA" w14:textId="77777777" w:rsidR="002531A4" w:rsidRPr="00D65365" w:rsidRDefault="002531A4" w:rsidP="002531A4">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D65365">
              <w:rPr>
                <w:rFonts w:ascii="Arial Narrow" w:hAnsi="Arial Narrow" w:cs="Times New Roman"/>
                <w:color w:val="000000"/>
                <w:sz w:val="24"/>
                <w:szCs w:val="24"/>
                <w:lang w:val="fr-FR"/>
              </w:rPr>
              <w:t xml:space="preserve">Avoir une expérience pertinente de cinq ans, dont au moins trois ans dans la </w:t>
            </w:r>
            <w:r>
              <w:rPr>
                <w:rFonts w:ascii="Arial Narrow" w:hAnsi="Arial Narrow" w:cs="Times New Roman"/>
                <w:color w:val="000000"/>
                <w:sz w:val="24"/>
                <w:szCs w:val="24"/>
                <w:lang w:val="fr-FR"/>
              </w:rPr>
              <w:t>réalisation d’études en lien avec l’entreprenariat ;</w:t>
            </w:r>
          </w:p>
          <w:p w14:paraId="505E06FC" w14:textId="77777777" w:rsidR="002531A4" w:rsidRDefault="002531A4" w:rsidP="002531A4">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D65365">
              <w:rPr>
                <w:rFonts w:ascii="Arial Narrow" w:hAnsi="Arial Narrow" w:cs="Times New Roman"/>
                <w:color w:val="000000"/>
                <w:sz w:val="24"/>
                <w:szCs w:val="24"/>
                <w:lang w:val="fr-FR"/>
              </w:rPr>
              <w:t>Avoir une bonne connaissance d</w:t>
            </w:r>
            <w:r>
              <w:rPr>
                <w:rFonts w:ascii="Arial Narrow" w:hAnsi="Arial Narrow" w:cs="Times New Roman"/>
                <w:color w:val="000000"/>
                <w:sz w:val="24"/>
                <w:szCs w:val="24"/>
                <w:lang w:val="fr-FR"/>
              </w:rPr>
              <w:t>u système bancaire tchadien ;</w:t>
            </w:r>
          </w:p>
          <w:p w14:paraId="423ED14E" w14:textId="77777777" w:rsidR="002531A4" w:rsidRDefault="002531A4" w:rsidP="002531A4">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Pr>
                <w:rFonts w:ascii="Arial Narrow" w:hAnsi="Arial Narrow" w:cs="Times New Roman"/>
                <w:color w:val="000000"/>
                <w:sz w:val="24"/>
                <w:szCs w:val="24"/>
                <w:lang w:val="fr-FR"/>
              </w:rPr>
              <w:t>Avoir réalisé au moins une étude en lien avec les questions de genre ;</w:t>
            </w:r>
          </w:p>
          <w:p w14:paraId="7EF07C6B" w14:textId="77777777" w:rsidR="002531A4" w:rsidRPr="00D65365" w:rsidRDefault="002531A4" w:rsidP="002531A4">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D65365">
              <w:rPr>
                <w:rFonts w:ascii="Arial Narrow" w:hAnsi="Arial Narrow" w:cs="Times New Roman"/>
                <w:color w:val="000000"/>
                <w:sz w:val="24"/>
                <w:szCs w:val="24"/>
                <w:lang w:val="fr-FR"/>
              </w:rPr>
              <w:t>Des grandes capacités d’analyse et de rédaction</w:t>
            </w:r>
            <w:r>
              <w:rPr>
                <w:rFonts w:ascii="Arial Narrow" w:hAnsi="Arial Narrow" w:cs="Times New Roman"/>
                <w:color w:val="000000"/>
                <w:sz w:val="24"/>
                <w:szCs w:val="24"/>
                <w:lang w:val="fr-FR"/>
              </w:rPr>
              <w:t> ;</w:t>
            </w:r>
          </w:p>
          <w:p w14:paraId="6AE201F7" w14:textId="77777777" w:rsidR="002531A4" w:rsidRPr="00D65365" w:rsidRDefault="002531A4" w:rsidP="002531A4">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D65365">
              <w:rPr>
                <w:rFonts w:ascii="Arial Narrow" w:hAnsi="Arial Narrow" w:cs="Times New Roman"/>
                <w:color w:val="000000"/>
                <w:sz w:val="24"/>
                <w:szCs w:val="24"/>
                <w:lang w:val="fr-FR"/>
              </w:rPr>
              <w:t>Avoir une bonne maitrise de l’outil informatique comme moyen de travail (Word, Excel, PowerPoint) ;</w:t>
            </w:r>
          </w:p>
          <w:p w14:paraId="7B724C8D" w14:textId="77777777" w:rsidR="002531A4" w:rsidRPr="00D65365" w:rsidRDefault="002531A4" w:rsidP="002531A4">
            <w:pPr>
              <w:pStyle w:val="Paragraphedeliste"/>
              <w:numPr>
                <w:ilvl w:val="0"/>
                <w:numId w:val="10"/>
              </w:numPr>
              <w:tabs>
                <w:tab w:val="left" w:pos="284"/>
                <w:tab w:val="left" w:pos="426"/>
              </w:tabs>
              <w:spacing w:before="120" w:after="120"/>
              <w:ind w:hanging="294"/>
              <w:jc w:val="both"/>
              <w:rPr>
                <w:rFonts w:ascii="Arial Narrow" w:hAnsi="Arial Narrow" w:cs="Times New Roman"/>
                <w:color w:val="000000"/>
                <w:sz w:val="24"/>
                <w:szCs w:val="24"/>
                <w:lang w:val="fr-FR"/>
              </w:rPr>
            </w:pPr>
            <w:r w:rsidRPr="00D65365">
              <w:rPr>
                <w:rFonts w:ascii="Arial Narrow" w:hAnsi="Arial Narrow" w:cs="Times New Roman"/>
                <w:color w:val="000000"/>
                <w:sz w:val="24"/>
                <w:szCs w:val="24"/>
                <w:lang w:val="fr-FR"/>
              </w:rPr>
              <w:t xml:space="preserve">Avoir la maîtrise du français ainsi que des grandes capacités de communication, orale et écrite ; </w:t>
            </w:r>
          </w:p>
          <w:p w14:paraId="522EDD7F" w14:textId="35F128F1" w:rsidR="00B164AB" w:rsidRPr="002531A4" w:rsidRDefault="002531A4" w:rsidP="002531A4">
            <w:pPr>
              <w:pStyle w:val="Paragraphedeliste"/>
              <w:numPr>
                <w:ilvl w:val="0"/>
                <w:numId w:val="10"/>
              </w:numPr>
              <w:tabs>
                <w:tab w:val="left" w:pos="284"/>
                <w:tab w:val="left" w:pos="426"/>
              </w:tabs>
              <w:spacing w:before="120" w:after="0"/>
              <w:ind w:hanging="294"/>
              <w:jc w:val="both"/>
              <w:rPr>
                <w:rFonts w:ascii="Arial Narrow" w:hAnsi="Arial Narrow" w:cs="Times New Roman"/>
                <w:sz w:val="24"/>
                <w:szCs w:val="24"/>
                <w:lang w:val="fr-FR"/>
              </w:rPr>
            </w:pPr>
            <w:r w:rsidRPr="006310A5">
              <w:rPr>
                <w:rFonts w:ascii="Arial Narrow" w:hAnsi="Arial Narrow" w:cs="Times New Roman"/>
                <w:color w:val="000000"/>
                <w:sz w:val="24"/>
                <w:szCs w:val="24"/>
                <w:lang w:val="fr-FR"/>
              </w:rPr>
              <w:t>Avoir l’aptitude à travailler sous pression et avec une multitude d’acteurs.</w:t>
            </w:r>
          </w:p>
        </w:tc>
      </w:tr>
      <w:tr w:rsidR="00B164AB" w:rsidRPr="009E7090" w14:paraId="5C24A1DF" w14:textId="77777777" w:rsidTr="009C03C6">
        <w:trPr>
          <w:trHeight w:val="321"/>
          <w:jc w:val="center"/>
        </w:trPr>
        <w:tc>
          <w:tcPr>
            <w:tcW w:w="5000" w:type="pct"/>
            <w:shd w:val="clear" w:color="auto" w:fill="000080"/>
            <w:vAlign w:val="center"/>
          </w:tcPr>
          <w:p w14:paraId="2EB7CC48" w14:textId="2EDB891C" w:rsidR="00B164AB" w:rsidRPr="009E7090" w:rsidRDefault="00052128" w:rsidP="009C03C6">
            <w:pPr>
              <w:spacing w:line="252" w:lineRule="auto"/>
              <w:rPr>
                <w:rFonts w:ascii="Arial Narrow" w:hAnsi="Arial Narrow"/>
                <w:b/>
                <w:bCs/>
                <w:lang w:val="fr-FR"/>
              </w:rPr>
            </w:pPr>
            <w:r>
              <w:rPr>
                <w:rFonts w:ascii="Arial Narrow" w:hAnsi="Arial Narrow"/>
                <w:b/>
                <w:bCs/>
                <w:lang w:val="fr-FR"/>
              </w:rPr>
              <w:lastRenderedPageBreak/>
              <w:t>VIII</w:t>
            </w:r>
            <w:r w:rsidR="00B164AB" w:rsidRPr="009E7090">
              <w:rPr>
                <w:rFonts w:ascii="Arial Narrow" w:hAnsi="Arial Narrow"/>
                <w:b/>
                <w:bCs/>
                <w:lang w:val="fr-FR"/>
              </w:rPr>
              <w:t xml:space="preserve">. Les critères d’évaluation </w:t>
            </w:r>
          </w:p>
        </w:tc>
      </w:tr>
      <w:tr w:rsidR="00B164AB" w:rsidRPr="007A63C4" w14:paraId="5E3B4211" w14:textId="77777777" w:rsidTr="009C03C6">
        <w:trPr>
          <w:trHeight w:val="321"/>
          <w:jc w:val="center"/>
        </w:trPr>
        <w:tc>
          <w:tcPr>
            <w:tcW w:w="5000" w:type="pct"/>
            <w:shd w:val="clear" w:color="auto" w:fill="auto"/>
            <w:vAlign w:val="center"/>
          </w:tcPr>
          <w:p w14:paraId="78479AF6" w14:textId="77777777" w:rsidR="00052128" w:rsidRDefault="00052128" w:rsidP="00052128">
            <w:pPr>
              <w:spacing w:after="160"/>
              <w:jc w:val="both"/>
              <w:rPr>
                <w:rFonts w:ascii="Arial Narrow" w:hAnsi="Arial Narrow" w:cs="Calibri"/>
                <w:bCs/>
                <w:sz w:val="24"/>
                <w:szCs w:val="24"/>
                <w:lang w:val="fr-FR"/>
              </w:rPr>
            </w:pPr>
            <w:r w:rsidRPr="00FC3252">
              <w:rPr>
                <w:rFonts w:ascii="Arial Narrow" w:hAnsi="Arial Narrow" w:cs="Calibri"/>
                <w:bCs/>
                <w:sz w:val="24"/>
                <w:szCs w:val="24"/>
                <w:lang w:val="fr-FR"/>
              </w:rPr>
              <w:t>L’évaluation des offres par le PNUD se déroule en deux temps : l’évaluation des propositions techniques est achevée avant l’ouverture et la comparaison des propositions financières.</w:t>
            </w:r>
          </w:p>
          <w:p w14:paraId="6E10D33D" w14:textId="77777777" w:rsidR="00052128" w:rsidRDefault="00052128" w:rsidP="00052128">
            <w:pPr>
              <w:spacing w:after="160"/>
              <w:jc w:val="both"/>
              <w:rPr>
                <w:rFonts w:ascii="Arial Narrow" w:hAnsi="Arial Narrow" w:cs="Calibri"/>
                <w:bCs/>
                <w:sz w:val="24"/>
                <w:szCs w:val="24"/>
                <w:lang w:val="fr-FR"/>
              </w:rPr>
            </w:pPr>
            <w:r w:rsidRPr="00FC3252">
              <w:rPr>
                <w:rFonts w:ascii="Arial Narrow" w:hAnsi="Arial Narrow" w:cs="Calibri"/>
                <w:bCs/>
                <w:sz w:val="24"/>
                <w:szCs w:val="24"/>
                <w:lang w:val="fr-FR"/>
              </w:rPr>
              <w:t xml:space="preserve">Pour démontrer </w:t>
            </w:r>
            <w:r>
              <w:rPr>
                <w:rFonts w:ascii="Arial Narrow" w:hAnsi="Arial Narrow" w:cs="Calibri"/>
                <w:bCs/>
                <w:sz w:val="24"/>
                <w:szCs w:val="24"/>
                <w:lang w:val="fr-FR"/>
              </w:rPr>
              <w:t>leurs</w:t>
            </w:r>
            <w:r w:rsidRPr="00FC3252">
              <w:rPr>
                <w:rFonts w:ascii="Arial Narrow" w:hAnsi="Arial Narrow" w:cs="Calibri"/>
                <w:bCs/>
                <w:sz w:val="24"/>
                <w:szCs w:val="24"/>
                <w:lang w:val="fr-FR"/>
              </w:rPr>
              <w:t xml:space="preserve"> qualifications, les candidat(e)s devront soumettre</w:t>
            </w:r>
            <w:r>
              <w:rPr>
                <w:rFonts w:ascii="Arial Narrow" w:hAnsi="Arial Narrow" w:cs="Calibri"/>
                <w:bCs/>
                <w:sz w:val="24"/>
                <w:szCs w:val="24"/>
                <w:lang w:val="fr-FR"/>
              </w:rPr>
              <w:t xml:space="preserve">, </w:t>
            </w:r>
            <w:r w:rsidRPr="00C622C0">
              <w:rPr>
                <w:rFonts w:ascii="Arial Narrow" w:hAnsi="Arial Narrow" w:cs="Calibri"/>
                <w:b/>
                <w:sz w:val="24"/>
                <w:szCs w:val="24"/>
                <w:lang w:val="fr-FR"/>
              </w:rPr>
              <w:t>en une seule fois</w:t>
            </w:r>
            <w:r>
              <w:rPr>
                <w:rFonts w:ascii="Arial Narrow" w:hAnsi="Arial Narrow" w:cs="Calibri"/>
                <w:bCs/>
                <w:sz w:val="24"/>
                <w:szCs w:val="24"/>
                <w:lang w:val="fr-FR"/>
              </w:rPr>
              <w:t xml:space="preserve">, </w:t>
            </w:r>
            <w:r w:rsidRPr="00FC3252">
              <w:rPr>
                <w:rFonts w:ascii="Arial Narrow" w:hAnsi="Arial Narrow" w:cs="Calibri"/>
                <w:bCs/>
                <w:sz w:val="24"/>
                <w:szCs w:val="24"/>
                <w:lang w:val="fr-FR"/>
              </w:rPr>
              <w:t xml:space="preserve">une offre </w:t>
            </w:r>
            <w:r>
              <w:rPr>
                <w:rFonts w:ascii="Arial Narrow" w:hAnsi="Arial Narrow" w:cs="Calibri"/>
                <w:bCs/>
                <w:sz w:val="24"/>
                <w:szCs w:val="24"/>
                <w:lang w:val="fr-FR"/>
              </w:rPr>
              <w:t>technique et une offre financière.</w:t>
            </w:r>
          </w:p>
          <w:p w14:paraId="1684BF60" w14:textId="77777777" w:rsidR="00052128" w:rsidRPr="00C622C0" w:rsidRDefault="00052128" w:rsidP="00052128">
            <w:pPr>
              <w:jc w:val="both"/>
              <w:rPr>
                <w:rFonts w:ascii="Arial Narrow" w:hAnsi="Arial Narrow" w:cs="Times New Roman"/>
                <w:sz w:val="24"/>
                <w:szCs w:val="24"/>
                <w:lang w:val="fr-FR"/>
              </w:rPr>
            </w:pPr>
            <w:r w:rsidRPr="0041236E">
              <w:rPr>
                <w:rFonts w:ascii="Arial Narrow" w:hAnsi="Arial Narrow" w:cs="Calibri"/>
                <w:b/>
                <w:sz w:val="24"/>
                <w:szCs w:val="24"/>
                <w:u w:val="single"/>
                <w:lang w:val="fr-FR"/>
              </w:rPr>
              <w:t>Offre technique</w:t>
            </w:r>
            <w:r w:rsidRPr="0041236E">
              <w:rPr>
                <w:rFonts w:ascii="Arial Narrow" w:hAnsi="Arial Narrow" w:cs="Calibri"/>
                <w:bCs/>
                <w:sz w:val="24"/>
                <w:szCs w:val="24"/>
                <w:lang w:val="fr-FR"/>
              </w:rPr>
              <w:t xml:space="preserve"> : </w:t>
            </w:r>
            <w:r w:rsidRPr="00C622C0">
              <w:rPr>
                <w:rFonts w:ascii="Arial Narrow" w:hAnsi="Arial Narrow" w:cs="Times New Roman"/>
                <w:sz w:val="24"/>
                <w:szCs w:val="24"/>
                <w:lang w:val="fr-FR"/>
              </w:rPr>
              <w:t>Les personnes intéressées doivent envoyer les documents suivants :</w:t>
            </w:r>
          </w:p>
          <w:p w14:paraId="7DAE9538" w14:textId="77777777" w:rsidR="00052128" w:rsidRPr="00C622C0" w:rsidRDefault="00052128" w:rsidP="00052128">
            <w:pPr>
              <w:pStyle w:val="Paragraphedeliste"/>
              <w:numPr>
                <w:ilvl w:val="0"/>
                <w:numId w:val="13"/>
              </w:numPr>
              <w:spacing w:after="0"/>
              <w:rPr>
                <w:rFonts w:ascii="Arial Narrow" w:hAnsi="Arial Narrow" w:cs="Times New Roman"/>
                <w:sz w:val="24"/>
                <w:szCs w:val="24"/>
                <w:lang w:val="fr-FR"/>
              </w:rPr>
            </w:pPr>
            <w:r w:rsidRPr="00C622C0">
              <w:rPr>
                <w:rFonts w:ascii="Arial Narrow" w:eastAsia="Times New Roman" w:hAnsi="Arial Narrow" w:cs="Times New Roman"/>
                <w:sz w:val="24"/>
                <w:szCs w:val="24"/>
                <w:lang w:val="fr-FR"/>
              </w:rPr>
              <w:t xml:space="preserve">Note explicative sur la compréhension des </w:t>
            </w:r>
            <w:r>
              <w:rPr>
                <w:rFonts w:ascii="Arial Narrow" w:eastAsia="Times New Roman" w:hAnsi="Arial Narrow" w:cs="Times New Roman"/>
                <w:sz w:val="24"/>
                <w:szCs w:val="24"/>
                <w:lang w:val="fr-FR"/>
              </w:rPr>
              <w:t>TDR</w:t>
            </w:r>
            <w:r w:rsidRPr="00C622C0">
              <w:rPr>
                <w:rFonts w:ascii="Arial Narrow" w:eastAsia="Times New Roman" w:hAnsi="Arial Narrow" w:cs="Times New Roman"/>
                <w:sz w:val="24"/>
                <w:szCs w:val="24"/>
                <w:lang w:val="fr-FR"/>
              </w:rPr>
              <w:t xml:space="preserve"> et les raisons de la candidature ;</w:t>
            </w:r>
          </w:p>
          <w:p w14:paraId="2D9F9342" w14:textId="77777777" w:rsidR="00052128" w:rsidRPr="00C622C0" w:rsidRDefault="00052128" w:rsidP="00052128">
            <w:pPr>
              <w:pStyle w:val="Paragraphedeliste"/>
              <w:numPr>
                <w:ilvl w:val="0"/>
                <w:numId w:val="13"/>
              </w:numPr>
              <w:spacing w:after="0"/>
              <w:rPr>
                <w:rFonts w:ascii="Arial Narrow" w:hAnsi="Arial Narrow" w:cs="Times New Roman"/>
                <w:sz w:val="24"/>
                <w:szCs w:val="24"/>
                <w:lang w:val="fr-FR"/>
              </w:rPr>
            </w:pPr>
            <w:r w:rsidRPr="00C622C0">
              <w:rPr>
                <w:rFonts w:ascii="Arial Narrow" w:eastAsia="Times New Roman" w:hAnsi="Arial Narrow" w:cs="Times New Roman"/>
                <w:sz w:val="24"/>
                <w:szCs w:val="24"/>
                <w:lang w:val="fr-FR"/>
              </w:rPr>
              <w:t>Brève présentation de l’approche méthodologique et de l’organisation de la mission envisagée ;</w:t>
            </w:r>
          </w:p>
          <w:p w14:paraId="5DE12603" w14:textId="742C593A" w:rsidR="00052128" w:rsidRPr="00C622C0" w:rsidRDefault="00052128" w:rsidP="00052128">
            <w:pPr>
              <w:pStyle w:val="Paragraphedeliste"/>
              <w:numPr>
                <w:ilvl w:val="0"/>
                <w:numId w:val="13"/>
              </w:numPr>
              <w:spacing w:after="0"/>
              <w:rPr>
                <w:rFonts w:ascii="Arial Narrow" w:hAnsi="Arial Narrow" w:cs="Times New Roman"/>
                <w:sz w:val="24"/>
                <w:szCs w:val="24"/>
              </w:rPr>
            </w:pPr>
            <w:r w:rsidRPr="00C622C0">
              <w:rPr>
                <w:rFonts w:ascii="Arial Narrow" w:eastAsia="Times New Roman" w:hAnsi="Arial Narrow" w:cs="Times New Roman"/>
                <w:sz w:val="24"/>
                <w:szCs w:val="24"/>
              </w:rPr>
              <w:t>Plan de travail détaill</w:t>
            </w:r>
            <w:r>
              <w:rPr>
                <w:rFonts w:ascii="Arial Narrow" w:eastAsia="Times New Roman" w:hAnsi="Arial Narrow" w:cs="Times New Roman"/>
                <w:sz w:val="24"/>
                <w:szCs w:val="24"/>
              </w:rPr>
              <w:t>é ;</w:t>
            </w:r>
          </w:p>
          <w:p w14:paraId="217C3588" w14:textId="77777777" w:rsidR="00052128" w:rsidRPr="00C622C0" w:rsidRDefault="00052128" w:rsidP="00052128">
            <w:pPr>
              <w:pStyle w:val="Paragraphedeliste"/>
              <w:numPr>
                <w:ilvl w:val="0"/>
                <w:numId w:val="13"/>
              </w:numPr>
              <w:spacing w:after="0"/>
              <w:rPr>
                <w:rFonts w:ascii="Arial Narrow" w:hAnsi="Arial Narrow" w:cs="Times New Roman"/>
                <w:sz w:val="24"/>
                <w:szCs w:val="24"/>
                <w:lang w:val="fr-FR"/>
              </w:rPr>
            </w:pPr>
            <w:r w:rsidRPr="00C622C0">
              <w:rPr>
                <w:rFonts w:ascii="Arial Narrow" w:eastAsia="Times New Roman" w:hAnsi="Arial Narrow" w:cs="Times New Roman"/>
                <w:sz w:val="24"/>
                <w:szCs w:val="24"/>
                <w:lang w:val="fr-FR"/>
              </w:rPr>
              <w:t>Des copies de diplômes et des attestations de service ;</w:t>
            </w:r>
          </w:p>
          <w:p w14:paraId="601D470A" w14:textId="09512D35" w:rsidR="00B164AB" w:rsidRPr="00052128" w:rsidRDefault="00052128" w:rsidP="00052128">
            <w:pPr>
              <w:pStyle w:val="Paragraphedeliste"/>
              <w:numPr>
                <w:ilvl w:val="0"/>
                <w:numId w:val="13"/>
              </w:numPr>
              <w:spacing w:after="160"/>
              <w:jc w:val="both"/>
              <w:rPr>
                <w:rFonts w:ascii="Arial Narrow" w:hAnsi="Arial Narrow" w:cs="Calibri"/>
                <w:sz w:val="24"/>
                <w:szCs w:val="24"/>
                <w:lang w:val="fr-FR"/>
              </w:rPr>
            </w:pPr>
            <w:r w:rsidRPr="00C622C0">
              <w:rPr>
                <w:rFonts w:ascii="Arial Narrow" w:eastAsia="Times New Roman" w:hAnsi="Arial Narrow" w:cs="Times New Roman"/>
                <w:sz w:val="24"/>
                <w:szCs w:val="24"/>
                <w:lang w:val="fr-FR"/>
              </w:rPr>
              <w:t xml:space="preserve">Curriculum Vitae en y incluant l’expérience acquise dans des projets similaires et les </w:t>
            </w:r>
            <w:r>
              <w:rPr>
                <w:rFonts w:ascii="Arial Narrow" w:eastAsia="Times New Roman" w:hAnsi="Arial Narrow" w:cs="Times New Roman"/>
                <w:sz w:val="24"/>
                <w:szCs w:val="24"/>
                <w:lang w:val="fr-FR"/>
              </w:rPr>
              <w:t xml:space="preserve">contacts (téléphone et e-mail) </w:t>
            </w:r>
            <w:r w:rsidRPr="00C622C0">
              <w:rPr>
                <w:rFonts w:ascii="Arial Narrow" w:eastAsia="Times New Roman" w:hAnsi="Arial Narrow" w:cs="Times New Roman"/>
                <w:sz w:val="24"/>
                <w:szCs w:val="24"/>
                <w:lang w:val="fr-FR"/>
              </w:rPr>
              <w:t>d’au moins trois (03) personnes de référence.</w:t>
            </w:r>
          </w:p>
        </w:tc>
      </w:tr>
    </w:tbl>
    <w:p w14:paraId="7A2DB243" w14:textId="77777777" w:rsidR="00E52E86" w:rsidRDefault="00E52E86" w:rsidP="00052128">
      <w:pPr>
        <w:spacing w:after="160"/>
        <w:jc w:val="both"/>
        <w:rPr>
          <w:rFonts w:ascii="Arial Narrow" w:hAnsi="Arial Narrow" w:cs="Calibri"/>
          <w:bCs/>
          <w:sz w:val="24"/>
          <w:szCs w:val="24"/>
          <w:lang w:val="fr-FR"/>
        </w:rPr>
      </w:pPr>
    </w:p>
    <w:p w14:paraId="2262748C" w14:textId="105DD128" w:rsidR="00B164AB" w:rsidRDefault="00052128" w:rsidP="00052128">
      <w:pPr>
        <w:spacing w:after="160"/>
        <w:jc w:val="both"/>
        <w:rPr>
          <w:rFonts w:ascii="Arial Narrow" w:hAnsi="Arial Narrow" w:cs="Calibri"/>
          <w:sz w:val="24"/>
          <w:szCs w:val="24"/>
          <w:lang w:val="fr-FR"/>
        </w:rPr>
      </w:pPr>
      <w:r w:rsidRPr="00C622C0">
        <w:rPr>
          <w:rFonts w:ascii="Arial Narrow" w:hAnsi="Arial Narrow" w:cs="Calibri"/>
          <w:bCs/>
          <w:sz w:val="24"/>
          <w:szCs w:val="24"/>
          <w:lang w:val="fr-FR"/>
        </w:rPr>
        <w:t>L</w:t>
      </w:r>
      <w:r w:rsidRPr="00C622C0">
        <w:rPr>
          <w:rFonts w:ascii="Arial Narrow" w:hAnsi="Arial Narrow" w:cs="Calibri"/>
          <w:sz w:val="24"/>
          <w:szCs w:val="24"/>
          <w:lang w:val="fr-FR"/>
        </w:rPr>
        <w:t>a proposition technique sera évaluée sur son degré de réponse par rapport aux termes de référence et sur la base des critères suivants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15"/>
        <w:gridCol w:w="935"/>
      </w:tblGrid>
      <w:tr w:rsidR="00052128" w:rsidRPr="00556DD8" w14:paraId="38D015E2" w14:textId="77777777" w:rsidTr="00052128">
        <w:trPr>
          <w:trHeight w:val="397"/>
        </w:trPr>
        <w:tc>
          <w:tcPr>
            <w:tcW w:w="8415" w:type="dxa"/>
            <w:shd w:val="clear" w:color="auto" w:fill="auto"/>
            <w:tcMar>
              <w:top w:w="0" w:type="dxa"/>
              <w:left w:w="108" w:type="dxa"/>
              <w:bottom w:w="0" w:type="dxa"/>
              <w:right w:w="108" w:type="dxa"/>
            </w:tcMar>
            <w:vAlign w:val="center"/>
          </w:tcPr>
          <w:p w14:paraId="65D79AD7" w14:textId="77777777" w:rsidR="00052128" w:rsidRPr="00556DD8" w:rsidRDefault="00052128" w:rsidP="009C03C6">
            <w:pPr>
              <w:spacing w:after="0"/>
              <w:jc w:val="center"/>
              <w:rPr>
                <w:rFonts w:ascii="Arial Narrow" w:hAnsi="Arial Narrow" w:cs="Calibri"/>
                <w:b/>
                <w:snapToGrid w:val="0"/>
                <w:sz w:val="23"/>
                <w:szCs w:val="23"/>
                <w:lang w:eastAsia="fr-FR"/>
              </w:rPr>
            </w:pPr>
            <w:r w:rsidRPr="00556DD8">
              <w:rPr>
                <w:rFonts w:ascii="Arial Narrow" w:hAnsi="Arial Narrow" w:cs="Calibri"/>
                <w:b/>
                <w:bCs/>
                <w:snapToGrid w:val="0"/>
                <w:sz w:val="23"/>
                <w:szCs w:val="23"/>
                <w:lang w:val="rw-RW" w:eastAsia="fr-FR"/>
              </w:rPr>
              <w:t>Critères d’évaluation</w:t>
            </w:r>
          </w:p>
        </w:tc>
        <w:tc>
          <w:tcPr>
            <w:tcW w:w="935" w:type="dxa"/>
            <w:shd w:val="clear" w:color="auto" w:fill="auto"/>
            <w:tcMar>
              <w:top w:w="0" w:type="dxa"/>
              <w:left w:w="108" w:type="dxa"/>
              <w:bottom w:w="0" w:type="dxa"/>
              <w:right w:w="108" w:type="dxa"/>
            </w:tcMar>
            <w:vAlign w:val="center"/>
          </w:tcPr>
          <w:p w14:paraId="1B5C23A4" w14:textId="77777777" w:rsidR="00052128" w:rsidRPr="00556DD8" w:rsidRDefault="00052128" w:rsidP="009C03C6">
            <w:pPr>
              <w:spacing w:after="0"/>
              <w:jc w:val="center"/>
              <w:rPr>
                <w:rFonts w:ascii="Arial Narrow" w:hAnsi="Arial Narrow" w:cs="Calibri"/>
                <w:b/>
                <w:sz w:val="23"/>
                <w:szCs w:val="23"/>
                <w:lang w:eastAsia="fr-FR"/>
              </w:rPr>
            </w:pPr>
            <w:r w:rsidRPr="00556DD8">
              <w:rPr>
                <w:rFonts w:ascii="Arial Narrow" w:hAnsi="Arial Narrow" w:cs="Calibri"/>
                <w:b/>
                <w:sz w:val="23"/>
                <w:szCs w:val="23"/>
                <w:lang w:eastAsia="fr-FR"/>
              </w:rPr>
              <w:t>Points</w:t>
            </w:r>
          </w:p>
        </w:tc>
      </w:tr>
      <w:tr w:rsidR="00052128" w:rsidRPr="00556DD8" w14:paraId="170DC25B" w14:textId="77777777" w:rsidTr="00052128">
        <w:trPr>
          <w:trHeight w:val="397"/>
        </w:trPr>
        <w:tc>
          <w:tcPr>
            <w:tcW w:w="8415" w:type="dxa"/>
            <w:shd w:val="clear" w:color="auto" w:fill="auto"/>
            <w:tcMar>
              <w:top w:w="0" w:type="dxa"/>
              <w:left w:w="108" w:type="dxa"/>
              <w:bottom w:w="0" w:type="dxa"/>
              <w:right w:w="108" w:type="dxa"/>
            </w:tcMar>
            <w:vAlign w:val="center"/>
          </w:tcPr>
          <w:p w14:paraId="21E447A2" w14:textId="77777777" w:rsidR="00052128" w:rsidRPr="00556DD8" w:rsidRDefault="00052128" w:rsidP="009C03C6">
            <w:pPr>
              <w:spacing w:after="0"/>
              <w:jc w:val="both"/>
              <w:rPr>
                <w:rFonts w:ascii="Arial Narrow" w:hAnsi="Arial Narrow" w:cs="Calibri"/>
                <w:sz w:val="23"/>
                <w:szCs w:val="23"/>
                <w:lang w:val="fr-FR" w:eastAsia="rw-RW"/>
              </w:rPr>
            </w:pPr>
            <w:r>
              <w:rPr>
                <w:rFonts w:ascii="Arial Narrow" w:hAnsi="Arial Narrow" w:cs="Calibri"/>
                <w:sz w:val="23"/>
                <w:szCs w:val="23"/>
                <w:lang w:val="fr-FR"/>
              </w:rPr>
              <w:t>D</w:t>
            </w:r>
            <w:r w:rsidRPr="00556DD8">
              <w:rPr>
                <w:rFonts w:ascii="Arial Narrow" w:hAnsi="Arial Narrow" w:cs="Calibri"/>
                <w:sz w:val="23"/>
                <w:szCs w:val="23"/>
                <w:lang w:val="fr-FR"/>
              </w:rPr>
              <w:t>iplôme de niveau minimum équivalent au Master</w:t>
            </w:r>
            <w:r>
              <w:rPr>
                <w:rFonts w:ascii="Arial Narrow" w:hAnsi="Arial Narrow" w:cs="Calibri"/>
                <w:sz w:val="23"/>
                <w:szCs w:val="23"/>
                <w:lang w:val="fr-FR"/>
              </w:rPr>
              <w:t xml:space="preserve"> 2</w:t>
            </w:r>
            <w:r w:rsidRPr="00556DD8">
              <w:rPr>
                <w:rFonts w:ascii="Arial Narrow" w:hAnsi="Arial Narrow" w:cs="Calibri"/>
                <w:sz w:val="23"/>
                <w:szCs w:val="23"/>
                <w:lang w:val="fr-FR"/>
              </w:rPr>
              <w:t xml:space="preserve"> en économie, finance, entreprenariat ou tout autre diplôme équivalent</w:t>
            </w:r>
          </w:p>
        </w:tc>
        <w:tc>
          <w:tcPr>
            <w:tcW w:w="935" w:type="dxa"/>
            <w:shd w:val="clear" w:color="auto" w:fill="auto"/>
            <w:tcMar>
              <w:top w:w="0" w:type="dxa"/>
              <w:left w:w="108" w:type="dxa"/>
              <w:bottom w:w="0" w:type="dxa"/>
              <w:right w:w="108" w:type="dxa"/>
            </w:tcMar>
            <w:vAlign w:val="center"/>
          </w:tcPr>
          <w:p w14:paraId="4D9CE519" w14:textId="77777777" w:rsidR="00052128" w:rsidRPr="00556DD8" w:rsidRDefault="00052128" w:rsidP="009C03C6">
            <w:pPr>
              <w:spacing w:after="0"/>
              <w:jc w:val="center"/>
              <w:rPr>
                <w:rFonts w:ascii="Arial Narrow" w:hAnsi="Arial Narrow" w:cs="Calibri"/>
                <w:sz w:val="23"/>
                <w:szCs w:val="23"/>
                <w:lang w:val="rw-RW" w:eastAsia="rw-RW"/>
              </w:rPr>
            </w:pPr>
            <w:r w:rsidRPr="00556DD8">
              <w:rPr>
                <w:rFonts w:ascii="Arial Narrow" w:hAnsi="Arial Narrow" w:cs="Calibri"/>
                <w:sz w:val="23"/>
                <w:szCs w:val="23"/>
                <w:lang w:val="rw-RW" w:eastAsia="rw-RW"/>
              </w:rPr>
              <w:t>20</w:t>
            </w:r>
          </w:p>
        </w:tc>
      </w:tr>
      <w:tr w:rsidR="00052128" w:rsidRPr="00556DD8" w14:paraId="3F9AE8BB" w14:textId="77777777" w:rsidTr="00052128">
        <w:trPr>
          <w:trHeight w:val="397"/>
        </w:trPr>
        <w:tc>
          <w:tcPr>
            <w:tcW w:w="8415" w:type="dxa"/>
            <w:shd w:val="clear" w:color="auto" w:fill="auto"/>
            <w:tcMar>
              <w:top w:w="0" w:type="dxa"/>
              <w:left w:w="108" w:type="dxa"/>
              <w:bottom w:w="0" w:type="dxa"/>
              <w:right w:w="108" w:type="dxa"/>
            </w:tcMar>
            <w:vAlign w:val="center"/>
          </w:tcPr>
          <w:p w14:paraId="05E5E179" w14:textId="77777777" w:rsidR="00052128" w:rsidRPr="00556DD8" w:rsidRDefault="00052128" w:rsidP="009C03C6">
            <w:pPr>
              <w:spacing w:after="0"/>
              <w:jc w:val="both"/>
              <w:rPr>
                <w:rFonts w:ascii="Arial Narrow" w:hAnsi="Arial Narrow" w:cs="Calibri"/>
                <w:sz w:val="23"/>
                <w:szCs w:val="23"/>
                <w:lang w:val="fr-FR"/>
              </w:rPr>
            </w:pPr>
            <w:r w:rsidRPr="00556DD8">
              <w:rPr>
                <w:rFonts w:ascii="Arial Narrow" w:hAnsi="Arial Narrow" w:cs="Calibri"/>
                <w:sz w:val="23"/>
                <w:szCs w:val="23"/>
                <w:lang w:val="fr-FR"/>
              </w:rPr>
              <w:t xml:space="preserve">Avoir une expérience pertinente de cinq ans, dont au moins trois ans dans la réalisation d’études </w:t>
            </w:r>
            <w:r>
              <w:rPr>
                <w:rFonts w:ascii="Arial Narrow" w:hAnsi="Arial Narrow" w:cs="Calibri"/>
                <w:sz w:val="23"/>
                <w:szCs w:val="23"/>
                <w:lang w:val="fr-FR"/>
              </w:rPr>
              <w:t xml:space="preserve">pertinentes </w:t>
            </w:r>
            <w:r w:rsidRPr="00556DD8">
              <w:rPr>
                <w:rFonts w:ascii="Arial Narrow" w:hAnsi="Arial Narrow" w:cs="Calibri"/>
                <w:sz w:val="23"/>
                <w:szCs w:val="23"/>
                <w:lang w:val="fr-FR"/>
              </w:rPr>
              <w:t>en lien avec l’entreprenariat</w:t>
            </w:r>
          </w:p>
        </w:tc>
        <w:tc>
          <w:tcPr>
            <w:tcW w:w="935" w:type="dxa"/>
            <w:shd w:val="clear" w:color="auto" w:fill="auto"/>
            <w:tcMar>
              <w:top w:w="0" w:type="dxa"/>
              <w:left w:w="108" w:type="dxa"/>
              <w:bottom w:w="0" w:type="dxa"/>
              <w:right w:w="108" w:type="dxa"/>
            </w:tcMar>
            <w:vAlign w:val="center"/>
          </w:tcPr>
          <w:p w14:paraId="5F078C36" w14:textId="6E2ACB49" w:rsidR="00052128" w:rsidRPr="00556DD8" w:rsidRDefault="00052128" w:rsidP="009C03C6">
            <w:pPr>
              <w:spacing w:after="0"/>
              <w:jc w:val="center"/>
              <w:rPr>
                <w:rFonts w:ascii="Arial Narrow" w:hAnsi="Arial Narrow" w:cs="Calibri"/>
                <w:sz w:val="23"/>
                <w:szCs w:val="23"/>
                <w:lang w:val="rw-RW" w:eastAsia="rw-RW"/>
              </w:rPr>
            </w:pPr>
            <w:r>
              <w:rPr>
                <w:rFonts w:ascii="Arial Narrow" w:hAnsi="Arial Narrow" w:cs="Calibri"/>
                <w:sz w:val="23"/>
                <w:szCs w:val="23"/>
                <w:lang w:val="rw-RW" w:eastAsia="rw-RW"/>
              </w:rPr>
              <w:t>1</w:t>
            </w:r>
            <w:r w:rsidR="003B5DF4">
              <w:rPr>
                <w:rFonts w:ascii="Arial Narrow" w:hAnsi="Arial Narrow" w:cs="Calibri"/>
                <w:sz w:val="23"/>
                <w:szCs w:val="23"/>
                <w:lang w:val="rw-RW" w:eastAsia="rw-RW"/>
              </w:rPr>
              <w:t>5</w:t>
            </w:r>
          </w:p>
        </w:tc>
      </w:tr>
      <w:tr w:rsidR="00052128" w:rsidRPr="00556DD8" w14:paraId="08A7B0B2" w14:textId="77777777" w:rsidTr="00052128">
        <w:trPr>
          <w:trHeight w:val="397"/>
        </w:trPr>
        <w:tc>
          <w:tcPr>
            <w:tcW w:w="8415" w:type="dxa"/>
            <w:shd w:val="clear" w:color="auto" w:fill="auto"/>
            <w:tcMar>
              <w:top w:w="0" w:type="dxa"/>
              <w:left w:w="108" w:type="dxa"/>
              <w:bottom w:w="0" w:type="dxa"/>
              <w:right w:w="108" w:type="dxa"/>
            </w:tcMar>
            <w:vAlign w:val="center"/>
          </w:tcPr>
          <w:p w14:paraId="34DF241A" w14:textId="77777777" w:rsidR="00052128" w:rsidRPr="00556DD8" w:rsidRDefault="00052128" w:rsidP="009C03C6">
            <w:pPr>
              <w:spacing w:after="0"/>
              <w:jc w:val="both"/>
              <w:rPr>
                <w:rFonts w:ascii="Arial Narrow" w:hAnsi="Arial Narrow" w:cs="Calibri"/>
                <w:sz w:val="23"/>
                <w:szCs w:val="23"/>
                <w:lang w:val="fr-FR"/>
              </w:rPr>
            </w:pPr>
            <w:r w:rsidRPr="00556DD8">
              <w:rPr>
                <w:rFonts w:ascii="Arial Narrow" w:hAnsi="Arial Narrow" w:cs="Calibri"/>
                <w:sz w:val="23"/>
                <w:szCs w:val="23"/>
                <w:lang w:val="fr-FR"/>
              </w:rPr>
              <w:t>Avoir une bonne connaissance du système bancaire tchadien</w:t>
            </w:r>
          </w:p>
        </w:tc>
        <w:tc>
          <w:tcPr>
            <w:tcW w:w="935" w:type="dxa"/>
            <w:shd w:val="clear" w:color="auto" w:fill="auto"/>
            <w:tcMar>
              <w:top w:w="0" w:type="dxa"/>
              <w:left w:w="108" w:type="dxa"/>
              <w:bottom w:w="0" w:type="dxa"/>
              <w:right w:w="108" w:type="dxa"/>
            </w:tcMar>
            <w:vAlign w:val="center"/>
          </w:tcPr>
          <w:p w14:paraId="6F78CEF0" w14:textId="77777777" w:rsidR="00052128" w:rsidRPr="00556DD8" w:rsidRDefault="00052128" w:rsidP="009C03C6">
            <w:pPr>
              <w:spacing w:after="0"/>
              <w:jc w:val="center"/>
              <w:rPr>
                <w:rFonts w:ascii="Arial Narrow" w:hAnsi="Arial Narrow" w:cs="Calibri"/>
                <w:sz w:val="23"/>
                <w:szCs w:val="23"/>
                <w:lang w:val="rw-RW" w:eastAsia="rw-RW"/>
              </w:rPr>
            </w:pPr>
            <w:r>
              <w:rPr>
                <w:rFonts w:ascii="Arial Narrow" w:hAnsi="Arial Narrow" w:cs="Calibri"/>
                <w:sz w:val="23"/>
                <w:szCs w:val="23"/>
                <w:lang w:val="rw-RW" w:eastAsia="rw-RW"/>
              </w:rPr>
              <w:t>15</w:t>
            </w:r>
          </w:p>
        </w:tc>
      </w:tr>
      <w:tr w:rsidR="00052128" w:rsidRPr="00556DD8" w14:paraId="242A60E5" w14:textId="77777777" w:rsidTr="00052128">
        <w:trPr>
          <w:trHeight w:val="397"/>
        </w:trPr>
        <w:tc>
          <w:tcPr>
            <w:tcW w:w="8415" w:type="dxa"/>
            <w:shd w:val="clear" w:color="auto" w:fill="auto"/>
            <w:tcMar>
              <w:top w:w="0" w:type="dxa"/>
              <w:left w:w="108" w:type="dxa"/>
              <w:bottom w:w="0" w:type="dxa"/>
              <w:right w:w="108" w:type="dxa"/>
            </w:tcMar>
            <w:vAlign w:val="center"/>
          </w:tcPr>
          <w:p w14:paraId="24325889" w14:textId="77777777" w:rsidR="00052128" w:rsidRPr="00556DD8" w:rsidRDefault="00052128" w:rsidP="009C03C6">
            <w:pPr>
              <w:spacing w:after="0"/>
              <w:jc w:val="both"/>
              <w:rPr>
                <w:rFonts w:ascii="Arial Narrow" w:hAnsi="Arial Narrow" w:cs="Calibri"/>
                <w:sz w:val="23"/>
                <w:szCs w:val="23"/>
                <w:lang w:val="fr-FR"/>
              </w:rPr>
            </w:pPr>
            <w:r>
              <w:rPr>
                <w:rFonts w:ascii="Arial Narrow" w:hAnsi="Arial Narrow" w:cs="Calibri"/>
                <w:sz w:val="23"/>
                <w:szCs w:val="23"/>
                <w:lang w:val="fr-FR"/>
              </w:rPr>
              <w:t>C</w:t>
            </w:r>
            <w:r w:rsidRPr="00556DD8">
              <w:rPr>
                <w:rFonts w:ascii="Arial Narrow" w:hAnsi="Arial Narrow" w:cs="Calibri"/>
                <w:sz w:val="23"/>
                <w:szCs w:val="23"/>
                <w:lang w:val="fr-FR"/>
              </w:rPr>
              <w:t xml:space="preserve">onnaissance avérée des questions relatives au genre </w:t>
            </w:r>
          </w:p>
        </w:tc>
        <w:tc>
          <w:tcPr>
            <w:tcW w:w="935" w:type="dxa"/>
            <w:shd w:val="clear" w:color="auto" w:fill="auto"/>
            <w:tcMar>
              <w:top w:w="0" w:type="dxa"/>
              <w:left w:w="108" w:type="dxa"/>
              <w:bottom w:w="0" w:type="dxa"/>
              <w:right w:w="108" w:type="dxa"/>
            </w:tcMar>
            <w:vAlign w:val="center"/>
          </w:tcPr>
          <w:p w14:paraId="3A7B3844" w14:textId="77777777" w:rsidR="00052128" w:rsidRPr="00556DD8" w:rsidRDefault="00052128" w:rsidP="009C03C6">
            <w:pPr>
              <w:spacing w:after="0"/>
              <w:jc w:val="center"/>
              <w:rPr>
                <w:rFonts w:ascii="Arial Narrow" w:hAnsi="Arial Narrow" w:cs="Calibri"/>
                <w:sz w:val="23"/>
                <w:szCs w:val="23"/>
                <w:lang w:val="rw-RW" w:eastAsia="rw-RW"/>
              </w:rPr>
            </w:pPr>
            <w:r w:rsidRPr="00556DD8">
              <w:rPr>
                <w:rFonts w:ascii="Arial Narrow" w:hAnsi="Arial Narrow" w:cs="Calibri"/>
                <w:sz w:val="23"/>
                <w:szCs w:val="23"/>
                <w:lang w:val="rw-RW" w:eastAsia="rw-RW"/>
              </w:rPr>
              <w:t>1</w:t>
            </w:r>
            <w:r>
              <w:rPr>
                <w:rFonts w:ascii="Arial Narrow" w:hAnsi="Arial Narrow" w:cs="Calibri"/>
                <w:sz w:val="23"/>
                <w:szCs w:val="23"/>
                <w:lang w:val="rw-RW" w:eastAsia="rw-RW"/>
              </w:rPr>
              <w:t>5</w:t>
            </w:r>
          </w:p>
        </w:tc>
      </w:tr>
      <w:tr w:rsidR="00052128" w:rsidRPr="00556DD8" w14:paraId="1BFFDBDB" w14:textId="77777777" w:rsidTr="00052128">
        <w:trPr>
          <w:trHeight w:val="397"/>
        </w:trPr>
        <w:tc>
          <w:tcPr>
            <w:tcW w:w="8415" w:type="dxa"/>
            <w:shd w:val="clear" w:color="auto" w:fill="auto"/>
            <w:tcMar>
              <w:top w:w="0" w:type="dxa"/>
              <w:left w:w="108" w:type="dxa"/>
              <w:bottom w:w="0" w:type="dxa"/>
              <w:right w:w="108" w:type="dxa"/>
            </w:tcMar>
            <w:vAlign w:val="center"/>
          </w:tcPr>
          <w:p w14:paraId="08D40304" w14:textId="6E65732E" w:rsidR="00052128" w:rsidRPr="00556DD8" w:rsidRDefault="00E52E86" w:rsidP="009C03C6">
            <w:pPr>
              <w:spacing w:after="0"/>
              <w:jc w:val="both"/>
              <w:rPr>
                <w:rFonts w:ascii="Arial Narrow" w:hAnsi="Arial Narrow" w:cs="Calibri"/>
                <w:sz w:val="23"/>
                <w:szCs w:val="23"/>
                <w:lang w:val="fr-FR"/>
              </w:rPr>
            </w:pPr>
            <w:r>
              <w:rPr>
                <w:rFonts w:ascii="Arial Narrow" w:hAnsi="Arial Narrow" w:cs="Calibri"/>
                <w:sz w:val="23"/>
                <w:szCs w:val="23"/>
                <w:lang w:val="fr-FR"/>
              </w:rPr>
              <w:t xml:space="preserve">Compréhension de la mission et adéquation de l’approche méthodologique avec les objectifs de la mission </w:t>
            </w:r>
          </w:p>
        </w:tc>
        <w:tc>
          <w:tcPr>
            <w:tcW w:w="935" w:type="dxa"/>
            <w:shd w:val="clear" w:color="auto" w:fill="auto"/>
            <w:tcMar>
              <w:top w:w="0" w:type="dxa"/>
              <w:left w:w="108" w:type="dxa"/>
              <w:bottom w:w="0" w:type="dxa"/>
              <w:right w:w="108" w:type="dxa"/>
            </w:tcMar>
            <w:vAlign w:val="center"/>
          </w:tcPr>
          <w:p w14:paraId="4884716A" w14:textId="4500AFBC" w:rsidR="00052128" w:rsidRPr="00556DD8" w:rsidRDefault="00E52E86" w:rsidP="009C03C6">
            <w:pPr>
              <w:spacing w:after="0"/>
              <w:jc w:val="center"/>
              <w:rPr>
                <w:rFonts w:ascii="Arial Narrow" w:hAnsi="Arial Narrow" w:cs="Calibri"/>
                <w:sz w:val="23"/>
                <w:szCs w:val="23"/>
                <w:lang w:val="rw-RW" w:eastAsia="rw-RW"/>
              </w:rPr>
            </w:pPr>
            <w:r>
              <w:rPr>
                <w:rFonts w:ascii="Arial Narrow" w:hAnsi="Arial Narrow" w:cs="Calibri"/>
                <w:sz w:val="23"/>
                <w:szCs w:val="23"/>
                <w:lang w:val="rw-RW" w:eastAsia="rw-RW"/>
              </w:rPr>
              <w:t>20</w:t>
            </w:r>
          </w:p>
        </w:tc>
      </w:tr>
      <w:tr w:rsidR="00052128" w:rsidRPr="00211648" w14:paraId="3EC880A7" w14:textId="77777777" w:rsidTr="00052128">
        <w:trPr>
          <w:trHeight w:val="397"/>
        </w:trPr>
        <w:tc>
          <w:tcPr>
            <w:tcW w:w="8415" w:type="dxa"/>
            <w:shd w:val="clear" w:color="auto" w:fill="auto"/>
            <w:tcMar>
              <w:top w:w="0" w:type="dxa"/>
              <w:left w:w="108" w:type="dxa"/>
              <w:bottom w:w="0" w:type="dxa"/>
              <w:right w:w="108" w:type="dxa"/>
            </w:tcMar>
            <w:vAlign w:val="center"/>
          </w:tcPr>
          <w:p w14:paraId="6EB0E0A8" w14:textId="77777777" w:rsidR="00052128" w:rsidRPr="00211648" w:rsidRDefault="00052128" w:rsidP="009C03C6">
            <w:pPr>
              <w:spacing w:after="0"/>
              <w:jc w:val="both"/>
              <w:rPr>
                <w:rFonts w:ascii="Arial Narrow" w:hAnsi="Arial Narrow" w:cs="Calibri"/>
                <w:sz w:val="23"/>
                <w:szCs w:val="23"/>
                <w:lang w:val="fr-FR"/>
              </w:rPr>
            </w:pPr>
            <w:r w:rsidRPr="00211648">
              <w:rPr>
                <w:rFonts w:ascii="Arial Narrow" w:hAnsi="Arial Narrow" w:cs="Calibri"/>
                <w:sz w:val="23"/>
                <w:szCs w:val="23"/>
                <w:lang w:val="fr-FR"/>
              </w:rPr>
              <w:t>Précision et cohérence du chronogramme avec les termes de référence</w:t>
            </w:r>
          </w:p>
        </w:tc>
        <w:tc>
          <w:tcPr>
            <w:tcW w:w="935" w:type="dxa"/>
            <w:shd w:val="clear" w:color="auto" w:fill="auto"/>
            <w:tcMar>
              <w:top w:w="0" w:type="dxa"/>
              <w:left w:w="108" w:type="dxa"/>
              <w:bottom w:w="0" w:type="dxa"/>
              <w:right w:w="108" w:type="dxa"/>
            </w:tcMar>
            <w:vAlign w:val="center"/>
          </w:tcPr>
          <w:p w14:paraId="12A77F3A" w14:textId="77777777" w:rsidR="00052128" w:rsidRPr="00556DD8" w:rsidRDefault="00052128" w:rsidP="009C03C6">
            <w:pPr>
              <w:spacing w:after="0"/>
              <w:jc w:val="center"/>
              <w:rPr>
                <w:rFonts w:ascii="Arial Narrow" w:hAnsi="Arial Narrow" w:cs="Calibri"/>
                <w:sz w:val="23"/>
                <w:szCs w:val="23"/>
                <w:lang w:val="rw-RW" w:eastAsia="rw-RW"/>
              </w:rPr>
            </w:pPr>
            <w:r>
              <w:rPr>
                <w:rFonts w:ascii="Arial Narrow" w:hAnsi="Arial Narrow" w:cs="Calibri"/>
                <w:sz w:val="23"/>
                <w:szCs w:val="23"/>
                <w:lang w:val="rw-RW" w:eastAsia="rw-RW"/>
              </w:rPr>
              <w:t>10</w:t>
            </w:r>
          </w:p>
        </w:tc>
      </w:tr>
      <w:tr w:rsidR="00052128" w:rsidRPr="00556DD8" w14:paraId="52F46EAE" w14:textId="77777777" w:rsidTr="00052128">
        <w:trPr>
          <w:trHeight w:val="397"/>
        </w:trPr>
        <w:tc>
          <w:tcPr>
            <w:tcW w:w="8415" w:type="dxa"/>
            <w:shd w:val="clear" w:color="auto" w:fill="auto"/>
            <w:tcMar>
              <w:top w:w="0" w:type="dxa"/>
              <w:left w:w="108" w:type="dxa"/>
              <w:bottom w:w="0" w:type="dxa"/>
              <w:right w:w="108" w:type="dxa"/>
            </w:tcMar>
            <w:vAlign w:val="center"/>
          </w:tcPr>
          <w:p w14:paraId="2CFC636E" w14:textId="77777777" w:rsidR="00052128" w:rsidRPr="00556DD8" w:rsidRDefault="00052128" w:rsidP="009C03C6">
            <w:pPr>
              <w:spacing w:after="0"/>
              <w:jc w:val="both"/>
              <w:rPr>
                <w:rFonts w:ascii="Arial Narrow" w:hAnsi="Arial Narrow" w:cs="Calibri"/>
                <w:sz w:val="23"/>
                <w:szCs w:val="23"/>
                <w:lang w:val="fr-FR"/>
              </w:rPr>
            </w:pPr>
            <w:r>
              <w:rPr>
                <w:rFonts w:ascii="Arial Narrow" w:hAnsi="Arial Narrow" w:cs="Calibri"/>
                <w:sz w:val="23"/>
                <w:szCs w:val="23"/>
                <w:lang w:val="fr-FR"/>
              </w:rPr>
              <w:t>M</w:t>
            </w:r>
            <w:r w:rsidRPr="00556DD8">
              <w:rPr>
                <w:rFonts w:ascii="Arial Narrow" w:hAnsi="Arial Narrow" w:cs="Calibri"/>
                <w:sz w:val="23"/>
                <w:szCs w:val="23"/>
                <w:lang w:val="fr-FR"/>
              </w:rPr>
              <w:t xml:space="preserve">aîtrise du français </w:t>
            </w:r>
            <w:r>
              <w:rPr>
                <w:rFonts w:ascii="Arial Narrow" w:hAnsi="Arial Narrow" w:cs="Calibri"/>
                <w:sz w:val="23"/>
                <w:szCs w:val="23"/>
                <w:lang w:val="fr-FR"/>
              </w:rPr>
              <w:t>et</w:t>
            </w:r>
            <w:r w:rsidRPr="00556DD8">
              <w:rPr>
                <w:rFonts w:ascii="Arial Narrow" w:hAnsi="Arial Narrow" w:cs="Calibri"/>
                <w:sz w:val="23"/>
                <w:szCs w:val="23"/>
                <w:lang w:val="fr-FR"/>
              </w:rPr>
              <w:t xml:space="preserve"> capacités de communication</w:t>
            </w:r>
            <w:r>
              <w:rPr>
                <w:rFonts w:ascii="Arial Narrow" w:hAnsi="Arial Narrow" w:cs="Calibri"/>
                <w:sz w:val="23"/>
                <w:szCs w:val="23"/>
                <w:lang w:val="fr-FR"/>
              </w:rPr>
              <w:t xml:space="preserve"> (</w:t>
            </w:r>
            <w:r w:rsidRPr="00556DD8">
              <w:rPr>
                <w:rFonts w:ascii="Arial Narrow" w:hAnsi="Arial Narrow" w:cs="Calibri"/>
                <w:sz w:val="23"/>
                <w:szCs w:val="23"/>
                <w:lang w:val="fr-FR"/>
              </w:rPr>
              <w:t>orale et écrite</w:t>
            </w:r>
            <w:r>
              <w:rPr>
                <w:rFonts w:ascii="Arial Narrow" w:hAnsi="Arial Narrow" w:cs="Calibri"/>
                <w:sz w:val="23"/>
                <w:szCs w:val="23"/>
                <w:lang w:val="fr-FR"/>
              </w:rPr>
              <w:t>)</w:t>
            </w:r>
          </w:p>
        </w:tc>
        <w:tc>
          <w:tcPr>
            <w:tcW w:w="935" w:type="dxa"/>
            <w:shd w:val="clear" w:color="auto" w:fill="auto"/>
            <w:tcMar>
              <w:top w:w="0" w:type="dxa"/>
              <w:left w:w="108" w:type="dxa"/>
              <w:bottom w:w="0" w:type="dxa"/>
              <w:right w:w="108" w:type="dxa"/>
            </w:tcMar>
            <w:vAlign w:val="center"/>
          </w:tcPr>
          <w:p w14:paraId="697F47DA" w14:textId="77777777" w:rsidR="00052128" w:rsidRPr="00556DD8" w:rsidRDefault="00052128" w:rsidP="009C03C6">
            <w:pPr>
              <w:spacing w:after="0"/>
              <w:jc w:val="center"/>
              <w:rPr>
                <w:rFonts w:ascii="Arial Narrow" w:hAnsi="Arial Narrow" w:cs="Calibri"/>
                <w:sz w:val="23"/>
                <w:szCs w:val="23"/>
                <w:lang w:val="rw-RW" w:eastAsia="rw-RW"/>
              </w:rPr>
            </w:pPr>
            <w:r>
              <w:rPr>
                <w:rFonts w:ascii="Arial Narrow" w:hAnsi="Arial Narrow" w:cs="Calibri"/>
                <w:sz w:val="23"/>
                <w:szCs w:val="23"/>
                <w:lang w:val="rw-RW" w:eastAsia="rw-RW"/>
              </w:rPr>
              <w:t>0</w:t>
            </w:r>
            <w:r w:rsidRPr="00556DD8">
              <w:rPr>
                <w:rFonts w:ascii="Arial Narrow" w:hAnsi="Arial Narrow" w:cs="Calibri"/>
                <w:sz w:val="23"/>
                <w:szCs w:val="23"/>
                <w:lang w:val="rw-RW" w:eastAsia="rw-RW"/>
              </w:rPr>
              <w:t>5</w:t>
            </w:r>
          </w:p>
        </w:tc>
      </w:tr>
      <w:tr w:rsidR="00052128" w:rsidRPr="00556DD8" w14:paraId="7BD0F6B4" w14:textId="77777777" w:rsidTr="00052128">
        <w:trPr>
          <w:trHeight w:val="397"/>
        </w:trPr>
        <w:tc>
          <w:tcPr>
            <w:tcW w:w="8415" w:type="dxa"/>
            <w:shd w:val="clear" w:color="auto" w:fill="auto"/>
            <w:tcMar>
              <w:top w:w="0" w:type="dxa"/>
              <w:left w:w="108" w:type="dxa"/>
              <w:bottom w:w="0" w:type="dxa"/>
              <w:right w:w="108" w:type="dxa"/>
            </w:tcMar>
            <w:vAlign w:val="center"/>
            <w:hideMark/>
          </w:tcPr>
          <w:p w14:paraId="0646E60D" w14:textId="77777777" w:rsidR="00052128" w:rsidRPr="00556DD8" w:rsidRDefault="00052128" w:rsidP="009C03C6">
            <w:pPr>
              <w:spacing w:after="0"/>
              <w:rPr>
                <w:rFonts w:ascii="Arial Narrow" w:hAnsi="Arial Narrow" w:cs="Calibri"/>
                <w:b/>
                <w:snapToGrid w:val="0"/>
                <w:sz w:val="23"/>
                <w:szCs w:val="23"/>
                <w:lang w:eastAsia="fr-FR"/>
              </w:rPr>
            </w:pPr>
            <w:r w:rsidRPr="00556DD8">
              <w:rPr>
                <w:rFonts w:ascii="Arial Narrow" w:hAnsi="Arial Narrow" w:cs="Calibri"/>
                <w:b/>
                <w:snapToGrid w:val="0"/>
                <w:sz w:val="23"/>
                <w:szCs w:val="23"/>
                <w:lang w:eastAsia="fr-FR"/>
              </w:rPr>
              <w:t xml:space="preserve">Total Note technique </w:t>
            </w:r>
          </w:p>
        </w:tc>
        <w:tc>
          <w:tcPr>
            <w:tcW w:w="935" w:type="dxa"/>
            <w:shd w:val="clear" w:color="auto" w:fill="auto"/>
            <w:tcMar>
              <w:top w:w="0" w:type="dxa"/>
              <w:left w:w="108" w:type="dxa"/>
              <w:bottom w:w="0" w:type="dxa"/>
              <w:right w:w="108" w:type="dxa"/>
            </w:tcMar>
            <w:vAlign w:val="center"/>
            <w:hideMark/>
          </w:tcPr>
          <w:p w14:paraId="68F43638" w14:textId="77777777" w:rsidR="00052128" w:rsidRPr="00556DD8" w:rsidRDefault="00052128" w:rsidP="009C03C6">
            <w:pPr>
              <w:spacing w:after="0"/>
              <w:jc w:val="center"/>
              <w:rPr>
                <w:rFonts w:ascii="Arial Narrow" w:hAnsi="Arial Narrow" w:cs="Calibri"/>
                <w:b/>
                <w:sz w:val="23"/>
                <w:szCs w:val="23"/>
                <w:lang w:eastAsia="fr-FR"/>
              </w:rPr>
            </w:pPr>
            <w:r w:rsidRPr="00556DD8">
              <w:rPr>
                <w:rFonts w:ascii="Arial Narrow" w:hAnsi="Arial Narrow" w:cs="Calibri"/>
                <w:b/>
                <w:sz w:val="23"/>
                <w:szCs w:val="23"/>
                <w:lang w:eastAsia="fr-FR"/>
              </w:rPr>
              <w:t>100</w:t>
            </w:r>
          </w:p>
        </w:tc>
      </w:tr>
    </w:tbl>
    <w:p w14:paraId="0391F8FB" w14:textId="77777777" w:rsidR="003B5DF4" w:rsidRDefault="003B5DF4" w:rsidP="00052128">
      <w:pPr>
        <w:spacing w:after="160"/>
        <w:jc w:val="both"/>
        <w:rPr>
          <w:rFonts w:ascii="Arial Narrow" w:hAnsi="Arial Narrow" w:cs="Calibri"/>
          <w:sz w:val="24"/>
          <w:szCs w:val="24"/>
          <w:lang w:val="fr-FR"/>
        </w:rPr>
      </w:pPr>
    </w:p>
    <w:p w14:paraId="690276C3" w14:textId="054001CE" w:rsidR="00052128" w:rsidRPr="008B6007" w:rsidRDefault="00052128" w:rsidP="00052128">
      <w:pPr>
        <w:spacing w:after="160"/>
        <w:jc w:val="both"/>
        <w:rPr>
          <w:rFonts w:ascii="Arial Narrow" w:hAnsi="Arial Narrow" w:cs="Calibri"/>
          <w:sz w:val="24"/>
          <w:szCs w:val="24"/>
          <w:lang w:val="fr-FR"/>
        </w:rPr>
      </w:pPr>
      <w:r w:rsidRPr="008B6007">
        <w:rPr>
          <w:rFonts w:ascii="Arial Narrow" w:hAnsi="Arial Narrow" w:cs="Calibri"/>
          <w:sz w:val="24"/>
          <w:szCs w:val="24"/>
          <w:lang w:val="fr-FR"/>
        </w:rPr>
        <w:t xml:space="preserve">Seront jugées qualifiées, les propositions techniques qui obtiendront 70% de la note maximale de 100 points ; cette note technique sera pondérée </w:t>
      </w:r>
      <w:r>
        <w:rPr>
          <w:rFonts w:ascii="Arial Narrow" w:hAnsi="Arial Narrow" w:cs="Calibri"/>
          <w:sz w:val="24"/>
          <w:szCs w:val="24"/>
          <w:lang w:val="fr-FR"/>
        </w:rPr>
        <w:t>à</w:t>
      </w:r>
      <w:r w:rsidRPr="008B6007">
        <w:rPr>
          <w:rFonts w:ascii="Arial Narrow" w:hAnsi="Arial Narrow" w:cs="Calibri"/>
          <w:sz w:val="24"/>
          <w:szCs w:val="24"/>
          <w:lang w:val="fr-FR"/>
        </w:rPr>
        <w:t xml:space="preserve"> 70%.</w:t>
      </w:r>
    </w:p>
    <w:p w14:paraId="1E9318B1" w14:textId="77777777" w:rsidR="00052128" w:rsidRPr="007E2E6E" w:rsidRDefault="00052128" w:rsidP="00052128">
      <w:pPr>
        <w:spacing w:before="120" w:after="120"/>
        <w:jc w:val="both"/>
        <w:rPr>
          <w:rFonts w:ascii="Arial Narrow" w:hAnsi="Arial Narrow" w:cs="Times New Roman"/>
          <w:color w:val="000000"/>
          <w:kern w:val="28"/>
          <w:sz w:val="24"/>
          <w:szCs w:val="24"/>
          <w:lang w:val="fr-FR"/>
        </w:rPr>
      </w:pPr>
      <w:r w:rsidRPr="0041236E">
        <w:rPr>
          <w:rFonts w:ascii="Arial Narrow" w:hAnsi="Arial Narrow" w:cs="Calibri"/>
          <w:b/>
          <w:bCs/>
          <w:sz w:val="24"/>
          <w:szCs w:val="24"/>
          <w:u w:val="single"/>
          <w:lang w:val="fr-FR"/>
        </w:rPr>
        <w:t>Offre financière</w:t>
      </w:r>
      <w:r>
        <w:rPr>
          <w:rFonts w:ascii="Arial Narrow" w:hAnsi="Arial Narrow" w:cs="Calibri"/>
          <w:sz w:val="24"/>
          <w:szCs w:val="24"/>
          <w:lang w:val="fr-FR"/>
        </w:rPr>
        <w:t xml:space="preserve"> : </w:t>
      </w:r>
      <w:r w:rsidRPr="007E2E6E">
        <w:rPr>
          <w:rFonts w:ascii="Arial Narrow" w:hAnsi="Arial Narrow" w:cs="Times New Roman"/>
          <w:color w:val="000000"/>
          <w:kern w:val="28"/>
          <w:sz w:val="24"/>
          <w:szCs w:val="24"/>
          <w:lang w:val="fr-FR"/>
        </w:rPr>
        <w:t>Le/la candidat (e) fait sa proposition financière suivant le modèle présenté ci-après dans le même format aux fins de comparaison des offres.</w:t>
      </w:r>
    </w:p>
    <w:p w14:paraId="0C270FD4" w14:textId="61C8EC33" w:rsidR="00052128" w:rsidRDefault="00052128" w:rsidP="00052128">
      <w:pPr>
        <w:spacing w:after="160"/>
        <w:jc w:val="both"/>
        <w:rPr>
          <w:rFonts w:ascii="Arial Narrow" w:hAnsi="Arial Narrow" w:cs="Times New Roman"/>
          <w:i/>
          <w:color w:val="000000"/>
          <w:sz w:val="24"/>
          <w:szCs w:val="24"/>
          <w:lang w:val="fr-FR"/>
        </w:rPr>
      </w:pPr>
      <w:r w:rsidRPr="007E2E6E">
        <w:rPr>
          <w:rFonts w:ascii="Arial Narrow" w:hAnsi="Arial Narrow" w:cs="Times New Roman"/>
          <w:i/>
          <w:color w:val="000000"/>
          <w:sz w:val="24"/>
          <w:szCs w:val="24"/>
          <w:lang w:val="fr-FR"/>
        </w:rPr>
        <w:t>Exemple de présentation de l’offre financière :</w:t>
      </w:r>
    </w:p>
    <w:p w14:paraId="741A4D9F" w14:textId="77777777" w:rsidR="003B5DF4" w:rsidRDefault="003B5DF4" w:rsidP="00052128">
      <w:pPr>
        <w:spacing w:after="160"/>
        <w:jc w:val="both"/>
        <w:rPr>
          <w:rFonts w:ascii="Arial Narrow" w:hAnsi="Arial Narrow" w:cs="Times New Roman"/>
          <w:i/>
          <w:color w:val="000000"/>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1942"/>
        <w:gridCol w:w="787"/>
        <w:gridCol w:w="1417"/>
        <w:gridCol w:w="1165"/>
      </w:tblGrid>
      <w:tr w:rsidR="00052128" w:rsidRPr="00556DD8" w14:paraId="7BF6529D" w14:textId="77777777" w:rsidTr="009C03C6">
        <w:trPr>
          <w:jc w:val="center"/>
        </w:trPr>
        <w:tc>
          <w:tcPr>
            <w:tcW w:w="3964" w:type="dxa"/>
          </w:tcPr>
          <w:p w14:paraId="5196DD1B" w14:textId="77777777" w:rsidR="00052128" w:rsidRPr="00556DD8" w:rsidRDefault="00052128" w:rsidP="009C03C6">
            <w:pPr>
              <w:pStyle w:val="Sansinterligne"/>
              <w:spacing w:line="276" w:lineRule="auto"/>
              <w:rPr>
                <w:rFonts w:ascii="Arial Narrow" w:hAnsi="Arial Narrow" w:cs="Times New Roman"/>
                <w:b/>
                <w:bCs/>
                <w:sz w:val="23"/>
                <w:szCs w:val="23"/>
                <w:lang w:val="fr-FR"/>
              </w:rPr>
            </w:pPr>
            <w:r w:rsidRPr="00556DD8">
              <w:rPr>
                <w:rFonts w:ascii="Arial Narrow" w:hAnsi="Arial Narrow" w:cs="Times New Roman"/>
                <w:b/>
                <w:bCs/>
                <w:sz w:val="23"/>
                <w:szCs w:val="23"/>
                <w:lang w:val="fr-FR"/>
              </w:rPr>
              <w:lastRenderedPageBreak/>
              <w:t>Désignation</w:t>
            </w:r>
          </w:p>
        </w:tc>
        <w:tc>
          <w:tcPr>
            <w:tcW w:w="1905" w:type="dxa"/>
          </w:tcPr>
          <w:p w14:paraId="23AD2B47" w14:textId="77777777" w:rsidR="00052128" w:rsidRPr="00556DD8" w:rsidRDefault="00052128" w:rsidP="009C03C6">
            <w:pPr>
              <w:pStyle w:val="Sansinterligne"/>
              <w:spacing w:line="276" w:lineRule="auto"/>
              <w:jc w:val="center"/>
              <w:rPr>
                <w:rFonts w:ascii="Arial Narrow" w:hAnsi="Arial Narrow" w:cs="Times New Roman"/>
                <w:b/>
                <w:bCs/>
                <w:sz w:val="23"/>
                <w:szCs w:val="23"/>
                <w:lang w:val="fr-FR"/>
              </w:rPr>
            </w:pPr>
            <w:r w:rsidRPr="00556DD8">
              <w:rPr>
                <w:rFonts w:ascii="Arial Narrow" w:hAnsi="Arial Narrow" w:cs="Times New Roman"/>
                <w:b/>
                <w:bCs/>
                <w:sz w:val="23"/>
                <w:szCs w:val="23"/>
                <w:lang w:val="fr-FR"/>
              </w:rPr>
              <w:t>Unité</w:t>
            </w:r>
          </w:p>
        </w:tc>
        <w:tc>
          <w:tcPr>
            <w:tcW w:w="772" w:type="dxa"/>
          </w:tcPr>
          <w:p w14:paraId="45620DCC" w14:textId="77777777" w:rsidR="00052128" w:rsidRPr="00556DD8" w:rsidRDefault="00052128" w:rsidP="009C03C6">
            <w:pPr>
              <w:pStyle w:val="Sansinterligne"/>
              <w:spacing w:line="276" w:lineRule="auto"/>
              <w:rPr>
                <w:rFonts w:ascii="Arial Narrow" w:hAnsi="Arial Narrow" w:cs="Times New Roman"/>
                <w:b/>
                <w:bCs/>
                <w:sz w:val="23"/>
                <w:szCs w:val="23"/>
                <w:lang w:val="fr-FR"/>
              </w:rPr>
            </w:pPr>
            <w:r w:rsidRPr="00556DD8">
              <w:rPr>
                <w:rFonts w:ascii="Arial Narrow" w:hAnsi="Arial Narrow" w:cs="Times New Roman"/>
                <w:b/>
                <w:bCs/>
                <w:sz w:val="23"/>
                <w:szCs w:val="23"/>
                <w:lang w:val="fr-FR"/>
              </w:rPr>
              <w:t>Taux</w:t>
            </w:r>
          </w:p>
        </w:tc>
        <w:tc>
          <w:tcPr>
            <w:tcW w:w="1390" w:type="dxa"/>
          </w:tcPr>
          <w:p w14:paraId="5DB81E21" w14:textId="77777777" w:rsidR="00052128" w:rsidRPr="00556DD8" w:rsidRDefault="00052128" w:rsidP="009C03C6">
            <w:pPr>
              <w:pStyle w:val="Sansinterligne"/>
              <w:spacing w:line="276" w:lineRule="auto"/>
              <w:rPr>
                <w:rFonts w:ascii="Arial Narrow" w:hAnsi="Arial Narrow" w:cs="Times New Roman"/>
                <w:b/>
                <w:bCs/>
                <w:sz w:val="23"/>
                <w:szCs w:val="23"/>
                <w:lang w:val="fr-FR"/>
              </w:rPr>
            </w:pPr>
            <w:r w:rsidRPr="00556DD8">
              <w:rPr>
                <w:rFonts w:ascii="Arial Narrow" w:hAnsi="Arial Narrow" w:cs="Times New Roman"/>
                <w:b/>
                <w:bCs/>
                <w:sz w:val="23"/>
                <w:szCs w:val="23"/>
                <w:lang w:val="fr-FR"/>
              </w:rPr>
              <w:t>Nombre/Qté</w:t>
            </w:r>
          </w:p>
        </w:tc>
        <w:tc>
          <w:tcPr>
            <w:tcW w:w="1143" w:type="dxa"/>
          </w:tcPr>
          <w:p w14:paraId="7B68BBB7" w14:textId="77777777" w:rsidR="00052128" w:rsidRPr="00556DD8" w:rsidRDefault="00052128" w:rsidP="009C03C6">
            <w:pPr>
              <w:pStyle w:val="Sansinterligne"/>
              <w:spacing w:line="276" w:lineRule="auto"/>
              <w:rPr>
                <w:rFonts w:ascii="Arial Narrow" w:hAnsi="Arial Narrow" w:cs="Times New Roman"/>
                <w:b/>
                <w:bCs/>
                <w:sz w:val="23"/>
                <w:szCs w:val="23"/>
                <w:lang w:val="fr-FR"/>
              </w:rPr>
            </w:pPr>
            <w:r w:rsidRPr="00556DD8">
              <w:rPr>
                <w:rFonts w:ascii="Arial Narrow" w:hAnsi="Arial Narrow" w:cs="Times New Roman"/>
                <w:b/>
                <w:bCs/>
                <w:sz w:val="23"/>
                <w:szCs w:val="23"/>
                <w:lang w:val="fr-FR"/>
              </w:rPr>
              <w:t>Prix total</w:t>
            </w:r>
          </w:p>
        </w:tc>
      </w:tr>
      <w:tr w:rsidR="00052128" w:rsidRPr="00556DD8" w14:paraId="71E9B6D3" w14:textId="77777777" w:rsidTr="009C03C6">
        <w:trPr>
          <w:jc w:val="center"/>
        </w:trPr>
        <w:tc>
          <w:tcPr>
            <w:tcW w:w="3964" w:type="dxa"/>
          </w:tcPr>
          <w:p w14:paraId="33CC4A0C" w14:textId="77777777" w:rsidR="00052128" w:rsidRPr="00556DD8" w:rsidRDefault="00052128" w:rsidP="009C03C6">
            <w:pPr>
              <w:pStyle w:val="Sansinterligne"/>
              <w:spacing w:line="276" w:lineRule="auto"/>
              <w:rPr>
                <w:rFonts w:ascii="Arial Narrow" w:hAnsi="Arial Narrow" w:cs="Times New Roman"/>
                <w:sz w:val="23"/>
                <w:szCs w:val="23"/>
                <w:lang w:val="fr-FR"/>
              </w:rPr>
            </w:pPr>
            <w:r w:rsidRPr="00556DD8">
              <w:rPr>
                <w:rFonts w:ascii="Arial Narrow" w:hAnsi="Arial Narrow" w:cs="Times New Roman"/>
                <w:sz w:val="23"/>
                <w:szCs w:val="23"/>
                <w:lang w:val="fr-FR"/>
              </w:rPr>
              <w:t xml:space="preserve">Honoraires </w:t>
            </w:r>
          </w:p>
        </w:tc>
        <w:tc>
          <w:tcPr>
            <w:tcW w:w="1905" w:type="dxa"/>
            <w:vAlign w:val="center"/>
          </w:tcPr>
          <w:p w14:paraId="3F416F53" w14:textId="77777777" w:rsidR="00052128" w:rsidRPr="00556DD8" w:rsidRDefault="00052128" w:rsidP="009C03C6">
            <w:pPr>
              <w:pStyle w:val="Sansinterligne"/>
              <w:spacing w:line="276" w:lineRule="auto"/>
              <w:rPr>
                <w:rFonts w:ascii="Arial Narrow" w:hAnsi="Arial Narrow" w:cs="Times New Roman"/>
                <w:sz w:val="23"/>
                <w:szCs w:val="23"/>
                <w:lang w:val="fr-FR"/>
              </w:rPr>
            </w:pPr>
            <w:r w:rsidRPr="00556DD8">
              <w:rPr>
                <w:rFonts w:ascii="Arial Narrow" w:hAnsi="Arial Narrow" w:cs="Times New Roman"/>
                <w:sz w:val="23"/>
                <w:szCs w:val="23"/>
                <w:lang w:val="fr-FR"/>
              </w:rPr>
              <w:t>Homme/jour</w:t>
            </w:r>
          </w:p>
        </w:tc>
        <w:tc>
          <w:tcPr>
            <w:tcW w:w="772" w:type="dxa"/>
          </w:tcPr>
          <w:p w14:paraId="4C588923"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390" w:type="dxa"/>
          </w:tcPr>
          <w:p w14:paraId="7B91D037"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143" w:type="dxa"/>
          </w:tcPr>
          <w:p w14:paraId="23EDB948"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r>
      <w:tr w:rsidR="00052128" w:rsidRPr="00556DD8" w14:paraId="0CBED175" w14:textId="77777777" w:rsidTr="009C03C6">
        <w:trPr>
          <w:jc w:val="center"/>
        </w:trPr>
        <w:tc>
          <w:tcPr>
            <w:tcW w:w="3964" w:type="dxa"/>
          </w:tcPr>
          <w:p w14:paraId="2E17BB48" w14:textId="77777777" w:rsidR="00052128" w:rsidRPr="00556DD8" w:rsidRDefault="00052128" w:rsidP="009C03C6">
            <w:pPr>
              <w:pStyle w:val="Sansinterligne"/>
              <w:spacing w:line="276" w:lineRule="auto"/>
              <w:rPr>
                <w:rFonts w:ascii="Arial Narrow" w:hAnsi="Arial Narrow" w:cs="Times New Roman"/>
                <w:sz w:val="23"/>
                <w:szCs w:val="23"/>
                <w:lang w:val="fr-FR"/>
              </w:rPr>
            </w:pPr>
            <w:r w:rsidRPr="00556DD8">
              <w:rPr>
                <w:rFonts w:ascii="Arial Narrow" w:hAnsi="Arial Narrow" w:cs="Times New Roman"/>
                <w:sz w:val="23"/>
                <w:szCs w:val="23"/>
                <w:lang w:val="fr-FR"/>
              </w:rPr>
              <w:t xml:space="preserve">DSA </w:t>
            </w:r>
          </w:p>
        </w:tc>
        <w:tc>
          <w:tcPr>
            <w:tcW w:w="1905" w:type="dxa"/>
            <w:vAlign w:val="center"/>
          </w:tcPr>
          <w:p w14:paraId="5F789218"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772" w:type="dxa"/>
          </w:tcPr>
          <w:p w14:paraId="2F8993DD"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390" w:type="dxa"/>
          </w:tcPr>
          <w:p w14:paraId="4BFA4366"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143" w:type="dxa"/>
          </w:tcPr>
          <w:p w14:paraId="5AF89025"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r>
      <w:tr w:rsidR="00052128" w:rsidRPr="007A63C4" w14:paraId="329F765B" w14:textId="77777777" w:rsidTr="009C03C6">
        <w:trPr>
          <w:jc w:val="center"/>
        </w:trPr>
        <w:tc>
          <w:tcPr>
            <w:tcW w:w="3964" w:type="dxa"/>
          </w:tcPr>
          <w:p w14:paraId="0F762C34" w14:textId="77777777" w:rsidR="00052128" w:rsidRPr="00556DD8" w:rsidRDefault="00052128" w:rsidP="009C03C6">
            <w:pPr>
              <w:pStyle w:val="Sansinterligne"/>
              <w:spacing w:line="276" w:lineRule="auto"/>
              <w:rPr>
                <w:rFonts w:ascii="Arial Narrow" w:hAnsi="Arial Narrow" w:cs="Times New Roman"/>
                <w:sz w:val="23"/>
                <w:szCs w:val="23"/>
                <w:lang w:val="fr-FR"/>
              </w:rPr>
            </w:pPr>
            <w:r w:rsidRPr="00556DD8">
              <w:rPr>
                <w:rFonts w:ascii="Arial Narrow" w:hAnsi="Arial Narrow" w:cs="Times New Roman"/>
                <w:sz w:val="23"/>
                <w:szCs w:val="23"/>
                <w:lang w:val="fr-FR"/>
              </w:rPr>
              <w:t>Frais de transport urbain et interurbain en cas de nécessité</w:t>
            </w:r>
          </w:p>
        </w:tc>
        <w:tc>
          <w:tcPr>
            <w:tcW w:w="1905" w:type="dxa"/>
            <w:vAlign w:val="center"/>
          </w:tcPr>
          <w:p w14:paraId="438A914B"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772" w:type="dxa"/>
          </w:tcPr>
          <w:p w14:paraId="35F4D23F"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390" w:type="dxa"/>
          </w:tcPr>
          <w:p w14:paraId="0C32993A"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143" w:type="dxa"/>
          </w:tcPr>
          <w:p w14:paraId="0C2CED7C"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r>
      <w:tr w:rsidR="00052128" w:rsidRPr="00556DD8" w14:paraId="37C71945" w14:textId="77777777" w:rsidTr="009C03C6">
        <w:trPr>
          <w:jc w:val="center"/>
        </w:trPr>
        <w:tc>
          <w:tcPr>
            <w:tcW w:w="3964" w:type="dxa"/>
          </w:tcPr>
          <w:p w14:paraId="2A8C3F67" w14:textId="77777777" w:rsidR="00052128" w:rsidRPr="00556DD8" w:rsidRDefault="00052128" w:rsidP="009C03C6">
            <w:pPr>
              <w:pStyle w:val="Sansinterligne"/>
              <w:spacing w:line="276" w:lineRule="auto"/>
              <w:rPr>
                <w:rFonts w:ascii="Arial Narrow" w:hAnsi="Arial Narrow" w:cs="Times New Roman"/>
                <w:sz w:val="23"/>
                <w:szCs w:val="23"/>
                <w:lang w:val="fr-FR"/>
              </w:rPr>
            </w:pPr>
            <w:r w:rsidRPr="00556DD8">
              <w:rPr>
                <w:rFonts w:ascii="Arial Narrow" w:hAnsi="Arial Narrow" w:cs="Times New Roman"/>
                <w:sz w:val="23"/>
                <w:szCs w:val="23"/>
                <w:lang w:val="fr-FR"/>
              </w:rPr>
              <w:t>Frais de communication (téléphone et internet)</w:t>
            </w:r>
          </w:p>
        </w:tc>
        <w:tc>
          <w:tcPr>
            <w:tcW w:w="1905" w:type="dxa"/>
            <w:vAlign w:val="center"/>
          </w:tcPr>
          <w:p w14:paraId="61690AB0" w14:textId="77777777" w:rsidR="00052128" w:rsidRPr="00556DD8" w:rsidRDefault="00052128" w:rsidP="009C03C6">
            <w:pPr>
              <w:pStyle w:val="Sansinterligne"/>
              <w:spacing w:line="276" w:lineRule="auto"/>
              <w:rPr>
                <w:rFonts w:ascii="Arial Narrow" w:hAnsi="Arial Narrow" w:cs="Times New Roman"/>
                <w:sz w:val="23"/>
                <w:szCs w:val="23"/>
                <w:lang w:val="fr-FR"/>
              </w:rPr>
            </w:pPr>
            <w:r w:rsidRPr="00556DD8">
              <w:rPr>
                <w:rFonts w:ascii="Arial Narrow" w:hAnsi="Arial Narrow" w:cs="Times New Roman"/>
                <w:sz w:val="23"/>
                <w:szCs w:val="23"/>
                <w:lang w:val="fr-FR"/>
              </w:rPr>
              <w:t>Forfait mensuel</w:t>
            </w:r>
          </w:p>
        </w:tc>
        <w:tc>
          <w:tcPr>
            <w:tcW w:w="772" w:type="dxa"/>
          </w:tcPr>
          <w:p w14:paraId="15CBEB97"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390" w:type="dxa"/>
          </w:tcPr>
          <w:p w14:paraId="4B19B7AD"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143" w:type="dxa"/>
          </w:tcPr>
          <w:p w14:paraId="34A84E0D"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r>
      <w:tr w:rsidR="00052128" w:rsidRPr="00556DD8" w14:paraId="0469A55D" w14:textId="77777777" w:rsidTr="009C03C6">
        <w:trPr>
          <w:jc w:val="center"/>
        </w:trPr>
        <w:tc>
          <w:tcPr>
            <w:tcW w:w="3964" w:type="dxa"/>
          </w:tcPr>
          <w:p w14:paraId="6C215005" w14:textId="77777777" w:rsidR="00052128" w:rsidRPr="00556DD8" w:rsidRDefault="00052128" w:rsidP="009C03C6">
            <w:pPr>
              <w:pStyle w:val="Sansinterligne"/>
              <w:spacing w:line="276" w:lineRule="auto"/>
              <w:rPr>
                <w:rFonts w:ascii="Arial Narrow" w:hAnsi="Arial Narrow" w:cs="Times New Roman"/>
                <w:sz w:val="23"/>
                <w:szCs w:val="23"/>
                <w:lang w:val="fr-FR"/>
              </w:rPr>
            </w:pPr>
            <w:r w:rsidRPr="00556DD8">
              <w:rPr>
                <w:rFonts w:ascii="Arial Narrow" w:hAnsi="Arial Narrow" w:cs="Times New Roman"/>
                <w:sz w:val="23"/>
                <w:szCs w:val="23"/>
                <w:lang w:val="fr-FR"/>
              </w:rPr>
              <w:t>Autre frais s’il y</w:t>
            </w:r>
            <w:r>
              <w:rPr>
                <w:rFonts w:ascii="Arial Narrow" w:hAnsi="Arial Narrow" w:cs="Times New Roman"/>
                <w:sz w:val="23"/>
                <w:szCs w:val="23"/>
                <w:lang w:val="fr-FR"/>
              </w:rPr>
              <w:t xml:space="preserve"> </w:t>
            </w:r>
            <w:r w:rsidRPr="00556DD8">
              <w:rPr>
                <w:rFonts w:ascii="Arial Narrow" w:hAnsi="Arial Narrow" w:cs="Times New Roman"/>
                <w:sz w:val="23"/>
                <w:szCs w:val="23"/>
                <w:lang w:val="fr-FR"/>
              </w:rPr>
              <w:t>a,</w:t>
            </w:r>
            <w:r>
              <w:rPr>
                <w:rFonts w:ascii="Arial Narrow" w:hAnsi="Arial Narrow" w:cs="Times New Roman"/>
                <w:sz w:val="23"/>
                <w:szCs w:val="23"/>
                <w:lang w:val="fr-FR"/>
              </w:rPr>
              <w:t xml:space="preserve"> </w:t>
            </w:r>
            <w:r w:rsidRPr="00556DD8">
              <w:rPr>
                <w:rFonts w:ascii="Arial Narrow" w:hAnsi="Arial Narrow" w:cs="Times New Roman"/>
                <w:sz w:val="23"/>
                <w:szCs w:val="23"/>
                <w:lang w:val="fr-FR"/>
              </w:rPr>
              <w:t>à préciser</w:t>
            </w:r>
          </w:p>
        </w:tc>
        <w:tc>
          <w:tcPr>
            <w:tcW w:w="1905" w:type="dxa"/>
            <w:vAlign w:val="center"/>
          </w:tcPr>
          <w:p w14:paraId="5507B57E" w14:textId="77777777" w:rsidR="00052128" w:rsidRPr="00556DD8" w:rsidRDefault="00052128" w:rsidP="009C03C6">
            <w:pPr>
              <w:pStyle w:val="Sansinterligne"/>
              <w:spacing w:line="276" w:lineRule="auto"/>
              <w:rPr>
                <w:rFonts w:ascii="Arial Narrow" w:hAnsi="Arial Narrow" w:cs="Times New Roman"/>
                <w:sz w:val="23"/>
                <w:szCs w:val="23"/>
                <w:lang w:val="fr-FR"/>
              </w:rPr>
            </w:pPr>
            <w:r w:rsidRPr="00556DD8">
              <w:rPr>
                <w:rFonts w:ascii="Arial Narrow" w:hAnsi="Arial Narrow" w:cs="Times New Roman"/>
                <w:sz w:val="23"/>
                <w:szCs w:val="23"/>
                <w:lang w:val="fr-FR"/>
              </w:rPr>
              <w:t>Définir</w:t>
            </w:r>
          </w:p>
        </w:tc>
        <w:tc>
          <w:tcPr>
            <w:tcW w:w="772" w:type="dxa"/>
          </w:tcPr>
          <w:p w14:paraId="23CA8F59"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390" w:type="dxa"/>
          </w:tcPr>
          <w:p w14:paraId="2CEA0461"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c>
          <w:tcPr>
            <w:tcW w:w="1143" w:type="dxa"/>
          </w:tcPr>
          <w:p w14:paraId="28B6B5D0" w14:textId="77777777" w:rsidR="00052128" w:rsidRPr="00556DD8" w:rsidRDefault="00052128" w:rsidP="009C03C6">
            <w:pPr>
              <w:pStyle w:val="Sansinterligne"/>
              <w:spacing w:line="276" w:lineRule="auto"/>
              <w:rPr>
                <w:rFonts w:ascii="Arial Narrow" w:hAnsi="Arial Narrow" w:cs="Times New Roman"/>
                <w:sz w:val="23"/>
                <w:szCs w:val="23"/>
                <w:lang w:val="fr-FR"/>
              </w:rPr>
            </w:pPr>
          </w:p>
        </w:tc>
      </w:tr>
    </w:tbl>
    <w:p w14:paraId="63F9881F" w14:textId="77777777" w:rsidR="00052128" w:rsidRDefault="00052128" w:rsidP="00052128">
      <w:pPr>
        <w:spacing w:after="0"/>
        <w:jc w:val="both"/>
        <w:rPr>
          <w:rFonts w:ascii="Arial Narrow" w:hAnsi="Arial Narrow" w:cs="Calibri"/>
          <w:sz w:val="24"/>
          <w:szCs w:val="24"/>
          <w:lang w:val="fr-FR"/>
        </w:rPr>
      </w:pPr>
    </w:p>
    <w:p w14:paraId="76E7F4F6" w14:textId="77777777" w:rsidR="00052128" w:rsidRPr="008B6007" w:rsidRDefault="00052128" w:rsidP="00052128">
      <w:pPr>
        <w:spacing w:after="160"/>
        <w:jc w:val="both"/>
        <w:rPr>
          <w:rFonts w:ascii="Arial Narrow" w:hAnsi="Arial Narrow" w:cs="Calibri"/>
          <w:sz w:val="24"/>
          <w:szCs w:val="24"/>
          <w:lang w:val="fr-FR"/>
        </w:rPr>
      </w:pPr>
      <w:r w:rsidRPr="008B6007">
        <w:rPr>
          <w:rFonts w:ascii="Arial Narrow" w:hAnsi="Arial Narrow" w:cs="Calibri"/>
          <w:sz w:val="24"/>
          <w:szCs w:val="24"/>
          <w:lang w:val="fr-FR"/>
        </w:rPr>
        <w:t xml:space="preserve">Dans une deuxième étape du processus d’évaluation, les enveloppes financières seront ouvertes et les offres financières comparées. </w:t>
      </w:r>
    </w:p>
    <w:p w14:paraId="3BAD6A31" w14:textId="77777777" w:rsidR="00052128" w:rsidRPr="008B6007" w:rsidRDefault="00052128" w:rsidP="00052128">
      <w:pPr>
        <w:spacing w:after="160"/>
        <w:jc w:val="both"/>
        <w:rPr>
          <w:rFonts w:ascii="Arial Narrow" w:hAnsi="Arial Narrow" w:cs="Calibri"/>
          <w:bCs/>
          <w:sz w:val="24"/>
          <w:szCs w:val="24"/>
          <w:lang w:val="fr-FR"/>
        </w:rPr>
      </w:pPr>
      <w:r w:rsidRPr="008B6007">
        <w:rPr>
          <w:rFonts w:ascii="Arial Narrow" w:hAnsi="Arial Narrow" w:cs="Calibri"/>
          <w:bCs/>
          <w:sz w:val="24"/>
          <w:szCs w:val="24"/>
          <w:lang w:val="fr-FR"/>
        </w:rPr>
        <w:t xml:space="preserve">Le marché ou le contrat sera attribué à la candidature ayant présenté le meilleur score combiné - rapport qualité/prix, évaluation cumulative - </w:t>
      </w:r>
      <w:r w:rsidRPr="008B6007">
        <w:rPr>
          <w:rFonts w:ascii="Arial Narrow" w:hAnsi="Arial Narrow" w:cs="Calibri"/>
          <w:sz w:val="24"/>
          <w:szCs w:val="24"/>
          <w:lang w:val="fr-FR"/>
        </w:rPr>
        <w:t>(Technique pondérée à 70% + Financière à 30%)</w:t>
      </w:r>
      <w:r w:rsidRPr="008B6007">
        <w:rPr>
          <w:rFonts w:ascii="Arial Narrow" w:hAnsi="Arial Narrow" w:cs="Calibri"/>
          <w:bCs/>
          <w:sz w:val="24"/>
          <w:szCs w:val="24"/>
          <w:lang w:val="fr-FR"/>
        </w:rPr>
        <w:t xml:space="preserve">. Applicable pour les services intellectuels plus complexes suivant les exigences des </w:t>
      </w:r>
      <w:proofErr w:type="gramStart"/>
      <w:r>
        <w:rPr>
          <w:rFonts w:ascii="Arial Narrow" w:hAnsi="Arial Narrow" w:cs="Calibri"/>
          <w:bCs/>
          <w:sz w:val="24"/>
          <w:szCs w:val="24"/>
          <w:lang w:val="fr-FR"/>
        </w:rPr>
        <w:t>TDR .</w:t>
      </w:r>
      <w:proofErr w:type="gramEnd"/>
    </w:p>
    <w:p w14:paraId="06CFB824" w14:textId="77777777" w:rsidR="00052128" w:rsidRPr="008B6007" w:rsidRDefault="00052128" w:rsidP="00052128">
      <w:pPr>
        <w:spacing w:after="0"/>
        <w:ind w:left="348"/>
        <w:jc w:val="both"/>
        <w:rPr>
          <w:rFonts w:ascii="Arial Narrow" w:hAnsi="Arial Narrow" w:cs="Calibri"/>
          <w:i/>
          <w:sz w:val="24"/>
          <w:szCs w:val="24"/>
          <w:lang w:val="fr-FR"/>
        </w:rPr>
      </w:pPr>
      <w:r w:rsidRPr="008B6007">
        <w:rPr>
          <w:rFonts w:ascii="Arial Narrow" w:hAnsi="Arial Narrow" w:cs="Calibri"/>
          <w:i/>
          <w:sz w:val="24"/>
          <w:szCs w:val="24"/>
          <w:lang w:val="fr-FR"/>
        </w:rPr>
        <w:t xml:space="preserve">Cette note financière combinée à 30% est calculée pour chaque proposition sur la base de la formule suivante : Note financière A = [(Offre financière la moins </w:t>
      </w:r>
      <w:proofErr w:type="spellStart"/>
      <w:proofErr w:type="gramStart"/>
      <w:r w:rsidRPr="008B6007">
        <w:rPr>
          <w:rFonts w:ascii="Arial Narrow" w:hAnsi="Arial Narrow" w:cs="Calibri"/>
          <w:i/>
          <w:sz w:val="24"/>
          <w:szCs w:val="24"/>
          <w:lang w:val="fr-FR"/>
        </w:rPr>
        <w:t>disante</w:t>
      </w:r>
      <w:proofErr w:type="spellEnd"/>
      <w:r w:rsidRPr="008B6007">
        <w:rPr>
          <w:rFonts w:ascii="Arial Narrow" w:hAnsi="Arial Narrow" w:cs="Calibri"/>
          <w:i/>
          <w:sz w:val="24"/>
          <w:szCs w:val="24"/>
          <w:lang w:val="fr-FR"/>
        </w:rPr>
        <w:t>)/</w:t>
      </w:r>
      <w:proofErr w:type="gramEnd"/>
      <w:r w:rsidRPr="008B6007">
        <w:rPr>
          <w:rFonts w:ascii="Arial Narrow" w:hAnsi="Arial Narrow" w:cs="Calibri"/>
          <w:i/>
          <w:sz w:val="24"/>
          <w:szCs w:val="24"/>
          <w:lang w:val="fr-FR"/>
        </w:rPr>
        <w:t>Offre financière de A] x 30</w:t>
      </w:r>
    </w:p>
    <w:p w14:paraId="69D7E47D" w14:textId="77777777" w:rsidR="00052128" w:rsidRPr="007E2E6E" w:rsidRDefault="00052128" w:rsidP="00052128">
      <w:pPr>
        <w:spacing w:after="0"/>
        <w:jc w:val="both"/>
        <w:rPr>
          <w:rFonts w:ascii="Arial Narrow" w:hAnsi="Arial Narrow" w:cs="Times New Roman"/>
          <w:i/>
          <w:color w:val="000000"/>
          <w:sz w:val="24"/>
          <w:szCs w:val="24"/>
          <w:lang w:val="fr-FR"/>
        </w:rPr>
      </w:pPr>
    </w:p>
    <w:p w14:paraId="1A657E15" w14:textId="77777777" w:rsidR="00052128" w:rsidRPr="007E2E6E" w:rsidRDefault="00052128" w:rsidP="00052128">
      <w:pPr>
        <w:spacing w:after="120"/>
        <w:jc w:val="both"/>
        <w:rPr>
          <w:rFonts w:ascii="Arial Narrow" w:hAnsi="Arial Narrow" w:cs="Times New Roman"/>
          <w:color w:val="000000"/>
          <w:kern w:val="28"/>
          <w:sz w:val="24"/>
          <w:szCs w:val="24"/>
          <w:lang w:val="fr-FR"/>
        </w:rPr>
      </w:pPr>
      <w:r>
        <w:rPr>
          <w:rFonts w:ascii="Arial Narrow" w:hAnsi="Arial Narrow" w:cs="Times New Roman"/>
          <w:color w:val="000000"/>
          <w:kern w:val="28"/>
          <w:sz w:val="24"/>
          <w:szCs w:val="24"/>
          <w:lang w:val="fr-FR"/>
        </w:rPr>
        <w:t xml:space="preserve">NB : </w:t>
      </w:r>
      <w:r w:rsidRPr="007E2E6E">
        <w:rPr>
          <w:rFonts w:ascii="Arial Narrow" w:hAnsi="Arial Narrow" w:cs="Times New Roman"/>
          <w:color w:val="000000"/>
          <w:kern w:val="28"/>
          <w:sz w:val="24"/>
          <w:szCs w:val="24"/>
          <w:lang w:val="fr-FR"/>
        </w:rPr>
        <w:t xml:space="preserve">Dans le cadre de la réalisation des missions attendues aux termes des présents </w:t>
      </w:r>
      <w:r>
        <w:rPr>
          <w:rFonts w:ascii="Arial Narrow" w:hAnsi="Arial Narrow" w:cs="Times New Roman"/>
          <w:color w:val="000000"/>
          <w:kern w:val="28"/>
          <w:sz w:val="24"/>
          <w:szCs w:val="24"/>
          <w:lang w:val="fr-FR"/>
        </w:rPr>
        <w:t>TDR</w:t>
      </w:r>
      <w:r w:rsidRPr="007E2E6E">
        <w:rPr>
          <w:rFonts w:ascii="Arial Narrow" w:hAnsi="Arial Narrow" w:cs="Times New Roman"/>
          <w:color w:val="000000"/>
          <w:kern w:val="28"/>
          <w:sz w:val="24"/>
          <w:szCs w:val="24"/>
          <w:lang w:val="fr-FR"/>
        </w:rPr>
        <w:t xml:space="preserve">, les seules facilités que le PNUD pourra accorder </w:t>
      </w:r>
      <w:r>
        <w:rPr>
          <w:rFonts w:ascii="Arial Narrow" w:hAnsi="Arial Narrow" w:cs="Times New Roman"/>
          <w:color w:val="000000"/>
          <w:kern w:val="28"/>
          <w:sz w:val="24"/>
          <w:szCs w:val="24"/>
          <w:lang w:val="fr-FR"/>
        </w:rPr>
        <w:t xml:space="preserve">au/à la </w:t>
      </w:r>
      <w:r w:rsidRPr="007E2E6E">
        <w:rPr>
          <w:rFonts w:ascii="Arial Narrow" w:hAnsi="Arial Narrow" w:cs="Times New Roman"/>
          <w:color w:val="000000"/>
          <w:kern w:val="28"/>
          <w:sz w:val="24"/>
          <w:szCs w:val="24"/>
          <w:lang w:val="fr-FR"/>
        </w:rPr>
        <w:t>consultant</w:t>
      </w:r>
      <w:r>
        <w:rPr>
          <w:rFonts w:ascii="Arial Narrow" w:hAnsi="Arial Narrow" w:cs="Times New Roman"/>
          <w:color w:val="000000"/>
          <w:kern w:val="28"/>
          <w:sz w:val="24"/>
          <w:szCs w:val="24"/>
          <w:lang w:val="fr-FR"/>
        </w:rPr>
        <w:t>(e)</w:t>
      </w:r>
      <w:r w:rsidRPr="007E2E6E">
        <w:rPr>
          <w:rFonts w:ascii="Arial Narrow" w:hAnsi="Arial Narrow" w:cs="Times New Roman"/>
          <w:color w:val="000000"/>
          <w:kern w:val="28"/>
          <w:sz w:val="24"/>
          <w:szCs w:val="24"/>
          <w:lang w:val="fr-FR"/>
        </w:rPr>
        <w:t xml:space="preserve"> est l’usage de ses locaux. Tous les autres frais, y compris ceux de transport en ville, seront à la charge du consultant et devront faire partie de ses coûts.</w:t>
      </w:r>
    </w:p>
    <w:p w14:paraId="42A2A9F8" w14:textId="77777777" w:rsidR="00052128" w:rsidRPr="007E2E6E" w:rsidRDefault="00052128" w:rsidP="00052128">
      <w:pPr>
        <w:spacing w:before="120" w:after="120"/>
        <w:jc w:val="both"/>
        <w:rPr>
          <w:rFonts w:ascii="Arial Narrow" w:hAnsi="Arial Narrow" w:cs="Times New Roman"/>
          <w:color w:val="000000"/>
          <w:kern w:val="28"/>
          <w:sz w:val="24"/>
          <w:szCs w:val="24"/>
          <w:lang w:val="fr-FR"/>
        </w:rPr>
      </w:pPr>
      <w:r w:rsidRPr="007E2E6E">
        <w:rPr>
          <w:rFonts w:ascii="Arial Narrow" w:hAnsi="Arial Narrow" w:cs="Times New Roman"/>
          <w:color w:val="000000"/>
          <w:kern w:val="28"/>
          <w:sz w:val="24"/>
          <w:szCs w:val="24"/>
          <w:lang w:val="fr-FR"/>
        </w:rPr>
        <w:t>Les paiements seront effectués ainsi qu’il suit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409"/>
        <w:gridCol w:w="1698"/>
      </w:tblGrid>
      <w:tr w:rsidR="00052128" w:rsidRPr="00556DD8" w14:paraId="2F1BCCFD" w14:textId="77777777" w:rsidTr="009C03C6">
        <w:trPr>
          <w:trHeight w:val="316"/>
          <w:jc w:val="center"/>
        </w:trPr>
        <w:tc>
          <w:tcPr>
            <w:tcW w:w="1220" w:type="dxa"/>
            <w:shd w:val="clear" w:color="auto" w:fill="auto"/>
          </w:tcPr>
          <w:p w14:paraId="755F6DBA" w14:textId="77777777" w:rsidR="00052128" w:rsidRPr="00556DD8" w:rsidRDefault="00052128" w:rsidP="009C03C6">
            <w:pPr>
              <w:pStyle w:val="Sansinterligne"/>
              <w:rPr>
                <w:rFonts w:ascii="Arial Narrow" w:hAnsi="Arial Narrow" w:cs="Times New Roman"/>
                <w:b/>
                <w:bCs/>
                <w:sz w:val="23"/>
                <w:szCs w:val="23"/>
                <w:lang w:val="fr-FR"/>
              </w:rPr>
            </w:pPr>
            <w:r w:rsidRPr="00556DD8">
              <w:rPr>
                <w:rFonts w:ascii="Arial Narrow" w:hAnsi="Arial Narrow" w:cs="Times New Roman"/>
                <w:b/>
                <w:bCs/>
                <w:sz w:val="23"/>
                <w:szCs w:val="23"/>
                <w:lang w:val="fr-FR"/>
              </w:rPr>
              <w:t>Tranche</w:t>
            </w:r>
          </w:p>
        </w:tc>
        <w:tc>
          <w:tcPr>
            <w:tcW w:w="6288" w:type="dxa"/>
            <w:shd w:val="clear" w:color="auto" w:fill="auto"/>
          </w:tcPr>
          <w:p w14:paraId="69016238" w14:textId="77777777" w:rsidR="00052128" w:rsidRPr="00556DD8" w:rsidRDefault="00052128" w:rsidP="009C03C6">
            <w:pPr>
              <w:pStyle w:val="Sansinterligne"/>
              <w:rPr>
                <w:rFonts w:ascii="Arial Narrow" w:hAnsi="Arial Narrow" w:cs="Times New Roman"/>
                <w:b/>
                <w:bCs/>
                <w:sz w:val="23"/>
                <w:szCs w:val="23"/>
                <w:lang w:val="fr-FR"/>
              </w:rPr>
            </w:pPr>
            <w:r w:rsidRPr="00556DD8">
              <w:rPr>
                <w:rFonts w:ascii="Arial Narrow" w:hAnsi="Arial Narrow" w:cs="Times New Roman"/>
                <w:b/>
                <w:bCs/>
                <w:sz w:val="23"/>
                <w:szCs w:val="23"/>
                <w:lang w:val="fr-FR"/>
              </w:rPr>
              <w:t>Conditions de paiements</w:t>
            </w:r>
          </w:p>
        </w:tc>
        <w:tc>
          <w:tcPr>
            <w:tcW w:w="1666" w:type="dxa"/>
            <w:shd w:val="clear" w:color="auto" w:fill="auto"/>
          </w:tcPr>
          <w:p w14:paraId="7521DCAD" w14:textId="77777777" w:rsidR="00052128" w:rsidRPr="00556DD8" w:rsidRDefault="00052128" w:rsidP="009C03C6">
            <w:pPr>
              <w:pStyle w:val="Sansinterligne"/>
              <w:rPr>
                <w:rFonts w:ascii="Arial Narrow" w:hAnsi="Arial Narrow" w:cs="Times New Roman"/>
                <w:b/>
                <w:bCs/>
                <w:sz w:val="23"/>
                <w:szCs w:val="23"/>
                <w:lang w:val="fr-FR"/>
              </w:rPr>
            </w:pPr>
            <w:r w:rsidRPr="00556DD8">
              <w:rPr>
                <w:rFonts w:ascii="Arial Narrow" w:hAnsi="Arial Narrow" w:cs="Times New Roman"/>
                <w:b/>
                <w:bCs/>
                <w:sz w:val="23"/>
                <w:szCs w:val="23"/>
                <w:lang w:val="fr-FR"/>
              </w:rPr>
              <w:t>Montant</w:t>
            </w:r>
          </w:p>
        </w:tc>
      </w:tr>
      <w:tr w:rsidR="00052128" w:rsidRPr="007A63C4" w14:paraId="05F5EB50" w14:textId="77777777" w:rsidTr="009C03C6">
        <w:trPr>
          <w:jc w:val="center"/>
        </w:trPr>
        <w:tc>
          <w:tcPr>
            <w:tcW w:w="1220" w:type="dxa"/>
            <w:shd w:val="clear" w:color="auto" w:fill="auto"/>
          </w:tcPr>
          <w:p w14:paraId="5893CE5D" w14:textId="77777777" w:rsidR="00052128" w:rsidRPr="00556DD8" w:rsidRDefault="00052128" w:rsidP="009C03C6">
            <w:pPr>
              <w:pStyle w:val="Sansinterligne"/>
              <w:rPr>
                <w:rFonts w:ascii="Arial Narrow" w:hAnsi="Arial Narrow" w:cs="Times New Roman"/>
                <w:sz w:val="23"/>
                <w:szCs w:val="23"/>
                <w:u w:val="single"/>
                <w:lang w:val="fr-FR"/>
              </w:rPr>
            </w:pPr>
            <w:r w:rsidRPr="00556DD8">
              <w:rPr>
                <w:rFonts w:ascii="Arial Narrow" w:hAnsi="Arial Narrow" w:cs="Times New Roman"/>
                <w:sz w:val="23"/>
                <w:szCs w:val="23"/>
                <w:lang w:val="fr-FR"/>
              </w:rPr>
              <w:t>Tranche 1</w:t>
            </w:r>
            <w:r w:rsidRPr="00556DD8">
              <w:rPr>
                <w:rFonts w:ascii="Arial Narrow" w:hAnsi="Arial Narrow" w:cs="Times New Roman"/>
                <w:sz w:val="23"/>
                <w:szCs w:val="23"/>
                <w:u w:val="single"/>
                <w:lang w:val="fr-FR"/>
              </w:rPr>
              <w:t xml:space="preserve"> </w:t>
            </w:r>
          </w:p>
        </w:tc>
        <w:tc>
          <w:tcPr>
            <w:tcW w:w="6288" w:type="dxa"/>
            <w:shd w:val="clear" w:color="auto" w:fill="auto"/>
          </w:tcPr>
          <w:p w14:paraId="3960B86D" w14:textId="77777777" w:rsidR="00052128" w:rsidRPr="00556DD8" w:rsidRDefault="00052128" w:rsidP="009C03C6">
            <w:pPr>
              <w:pStyle w:val="Sansinterligne"/>
              <w:rPr>
                <w:rFonts w:ascii="Arial Narrow" w:hAnsi="Arial Narrow" w:cs="Times New Roman"/>
                <w:color w:val="000000" w:themeColor="text1"/>
                <w:sz w:val="23"/>
                <w:szCs w:val="23"/>
                <w:shd w:val="clear" w:color="auto" w:fill="FFFFFF"/>
                <w:lang w:val="fr-FR"/>
              </w:rPr>
            </w:pPr>
            <w:r w:rsidRPr="00556DD8">
              <w:rPr>
                <w:rFonts w:ascii="Arial Narrow" w:hAnsi="Arial Narrow" w:cs="Times New Roman"/>
                <w:b/>
                <w:bCs/>
                <w:color w:val="000000" w:themeColor="text1"/>
                <w:sz w:val="23"/>
                <w:szCs w:val="23"/>
                <w:shd w:val="clear" w:color="auto" w:fill="FFFFFF"/>
                <w:lang w:val="fr-FR"/>
              </w:rPr>
              <w:t>Livrable 1 :</w:t>
            </w:r>
            <w:r w:rsidRPr="00556DD8">
              <w:rPr>
                <w:rFonts w:ascii="Arial Narrow" w:hAnsi="Arial Narrow" w:cs="Times New Roman"/>
                <w:color w:val="000000" w:themeColor="text1"/>
                <w:sz w:val="23"/>
                <w:szCs w:val="23"/>
                <w:shd w:val="clear" w:color="auto" w:fill="FFFFFF"/>
                <w:lang w:val="fr-FR"/>
              </w:rPr>
              <w:t xml:space="preserve"> Production du rapport préliminaire de 10 pages maximum, qui doit en outre contenir la méthodologie, le plan de travail, le plan de traitement détaillé du sujet et le calendrier d’exécution après l’attribution du contrat</w:t>
            </w:r>
          </w:p>
        </w:tc>
        <w:tc>
          <w:tcPr>
            <w:tcW w:w="1666" w:type="dxa"/>
            <w:shd w:val="clear" w:color="auto" w:fill="auto"/>
          </w:tcPr>
          <w:p w14:paraId="4E9003FD" w14:textId="77777777" w:rsidR="00052128" w:rsidRPr="00556DD8" w:rsidRDefault="00052128" w:rsidP="009C03C6">
            <w:pPr>
              <w:pStyle w:val="Sansinterligne"/>
              <w:rPr>
                <w:rFonts w:ascii="Arial Narrow" w:hAnsi="Arial Narrow" w:cs="Times New Roman"/>
                <w:sz w:val="23"/>
                <w:szCs w:val="23"/>
                <w:lang w:val="fr-FR"/>
              </w:rPr>
            </w:pPr>
            <w:r w:rsidRPr="00556DD8">
              <w:rPr>
                <w:rFonts w:ascii="Arial Narrow" w:hAnsi="Arial Narrow" w:cs="Times New Roman"/>
                <w:sz w:val="23"/>
                <w:szCs w:val="23"/>
                <w:lang w:val="fr-FR"/>
              </w:rPr>
              <w:t>30% du montant total du contrat</w:t>
            </w:r>
          </w:p>
        </w:tc>
      </w:tr>
      <w:tr w:rsidR="00052128" w:rsidRPr="007A63C4" w14:paraId="59E911FF" w14:textId="77777777" w:rsidTr="009C03C6">
        <w:trPr>
          <w:jc w:val="center"/>
        </w:trPr>
        <w:tc>
          <w:tcPr>
            <w:tcW w:w="1220" w:type="dxa"/>
            <w:shd w:val="clear" w:color="auto" w:fill="auto"/>
          </w:tcPr>
          <w:p w14:paraId="46510CD7" w14:textId="77777777" w:rsidR="00052128" w:rsidRPr="00556DD8" w:rsidRDefault="00052128" w:rsidP="009C03C6">
            <w:pPr>
              <w:pStyle w:val="Sansinterligne"/>
              <w:rPr>
                <w:rFonts w:ascii="Arial Narrow" w:hAnsi="Arial Narrow" w:cs="Times New Roman"/>
                <w:sz w:val="23"/>
                <w:szCs w:val="23"/>
                <w:lang w:val="fr-FR"/>
              </w:rPr>
            </w:pPr>
            <w:r w:rsidRPr="00556DD8">
              <w:rPr>
                <w:rFonts w:ascii="Arial Narrow" w:hAnsi="Arial Narrow" w:cs="Times New Roman"/>
                <w:sz w:val="23"/>
                <w:szCs w:val="23"/>
                <w:lang w:val="fr-FR"/>
              </w:rPr>
              <w:t>Tranche 2</w:t>
            </w:r>
          </w:p>
        </w:tc>
        <w:tc>
          <w:tcPr>
            <w:tcW w:w="6288" w:type="dxa"/>
            <w:shd w:val="clear" w:color="auto" w:fill="auto"/>
          </w:tcPr>
          <w:p w14:paraId="2E667776" w14:textId="77777777" w:rsidR="00052128" w:rsidRPr="00556DD8" w:rsidRDefault="00052128" w:rsidP="009C03C6">
            <w:pPr>
              <w:pStyle w:val="Sansinterligne"/>
              <w:rPr>
                <w:rFonts w:ascii="Arial Narrow" w:hAnsi="Arial Narrow" w:cs="Times New Roman"/>
                <w:sz w:val="23"/>
                <w:szCs w:val="23"/>
                <w:lang w:val="fr-FR"/>
              </w:rPr>
            </w:pPr>
            <w:r w:rsidRPr="00556DD8">
              <w:rPr>
                <w:rFonts w:ascii="Arial Narrow" w:hAnsi="Arial Narrow" w:cs="Times New Roman"/>
                <w:b/>
                <w:bCs/>
                <w:color w:val="000000" w:themeColor="text1"/>
                <w:sz w:val="23"/>
                <w:szCs w:val="23"/>
                <w:shd w:val="clear" w:color="auto" w:fill="FFFFFF"/>
                <w:lang w:val="fr-FR"/>
              </w:rPr>
              <w:t>Livrable 2 :</w:t>
            </w:r>
            <w:r w:rsidRPr="00556DD8">
              <w:rPr>
                <w:rFonts w:ascii="Arial Narrow" w:hAnsi="Arial Narrow" w:cs="Times New Roman"/>
                <w:color w:val="000000" w:themeColor="text1"/>
                <w:sz w:val="23"/>
                <w:szCs w:val="23"/>
                <w:shd w:val="clear" w:color="auto" w:fill="FFFFFF"/>
                <w:lang w:val="fr-FR"/>
              </w:rPr>
              <w:t xml:space="preserve"> Production du rapport provisoire incluant l’analyse de l’écosystème de l’entreprenariat en termes de financement avec un focus sur l’entreprenariat féminin, l’analyse de données collectées, le classement des </w:t>
            </w:r>
            <w:r>
              <w:rPr>
                <w:rFonts w:ascii="Arial Narrow" w:hAnsi="Arial Narrow" w:cs="Times New Roman"/>
                <w:color w:val="000000" w:themeColor="text1"/>
                <w:sz w:val="23"/>
                <w:szCs w:val="23"/>
                <w:shd w:val="clear" w:color="auto" w:fill="FFFFFF"/>
                <w:lang w:val="fr-FR"/>
              </w:rPr>
              <w:t>établissements financiers</w:t>
            </w:r>
            <w:r w:rsidRPr="00556DD8">
              <w:rPr>
                <w:rFonts w:ascii="Arial Narrow" w:hAnsi="Arial Narrow" w:cs="Times New Roman"/>
                <w:color w:val="000000" w:themeColor="text1"/>
                <w:sz w:val="23"/>
                <w:szCs w:val="23"/>
                <w:shd w:val="clear" w:color="auto" w:fill="FFFFFF"/>
                <w:lang w:val="fr-FR"/>
              </w:rPr>
              <w:t xml:space="preserve"> étudiés selon leur sensibilité au genre et des recommandations pour un financement accru de l’entreprenariat féminin. </w:t>
            </w:r>
          </w:p>
        </w:tc>
        <w:tc>
          <w:tcPr>
            <w:tcW w:w="1666" w:type="dxa"/>
            <w:shd w:val="clear" w:color="auto" w:fill="auto"/>
          </w:tcPr>
          <w:p w14:paraId="2C01BE2A" w14:textId="77777777" w:rsidR="00052128" w:rsidRPr="00556DD8" w:rsidRDefault="00052128" w:rsidP="009C03C6">
            <w:pPr>
              <w:pStyle w:val="Sansinterligne"/>
              <w:rPr>
                <w:rFonts w:ascii="Arial Narrow" w:hAnsi="Arial Narrow" w:cs="Times New Roman"/>
                <w:sz w:val="23"/>
                <w:szCs w:val="23"/>
                <w:lang w:val="fr-FR"/>
              </w:rPr>
            </w:pPr>
            <w:r w:rsidRPr="00556DD8">
              <w:rPr>
                <w:rFonts w:ascii="Arial Narrow" w:hAnsi="Arial Narrow" w:cs="Times New Roman"/>
                <w:sz w:val="23"/>
                <w:szCs w:val="23"/>
                <w:lang w:val="fr-FR"/>
              </w:rPr>
              <w:t xml:space="preserve">50% du montant total du contrat </w:t>
            </w:r>
          </w:p>
        </w:tc>
      </w:tr>
      <w:tr w:rsidR="00052128" w:rsidRPr="00556DD8" w14:paraId="732DB87E" w14:textId="77777777" w:rsidTr="009C03C6">
        <w:trPr>
          <w:jc w:val="center"/>
        </w:trPr>
        <w:tc>
          <w:tcPr>
            <w:tcW w:w="1220" w:type="dxa"/>
            <w:shd w:val="clear" w:color="auto" w:fill="auto"/>
          </w:tcPr>
          <w:p w14:paraId="5D643B14" w14:textId="77777777" w:rsidR="00052128" w:rsidRPr="00556DD8" w:rsidRDefault="00052128" w:rsidP="009C03C6">
            <w:pPr>
              <w:pStyle w:val="Sansinterligne"/>
              <w:rPr>
                <w:rFonts w:ascii="Arial Narrow" w:hAnsi="Arial Narrow" w:cs="Times New Roman"/>
                <w:sz w:val="23"/>
                <w:szCs w:val="23"/>
                <w:lang w:val="fr-FR"/>
              </w:rPr>
            </w:pPr>
            <w:r w:rsidRPr="00556DD8">
              <w:rPr>
                <w:rFonts w:ascii="Arial Narrow" w:hAnsi="Arial Narrow" w:cs="Times New Roman"/>
                <w:sz w:val="23"/>
                <w:szCs w:val="23"/>
                <w:lang w:val="fr-FR"/>
              </w:rPr>
              <w:t>Tranche 3</w:t>
            </w:r>
          </w:p>
        </w:tc>
        <w:tc>
          <w:tcPr>
            <w:tcW w:w="6288" w:type="dxa"/>
            <w:shd w:val="clear" w:color="auto" w:fill="auto"/>
          </w:tcPr>
          <w:p w14:paraId="693B4721" w14:textId="77777777" w:rsidR="00052128" w:rsidRPr="00556DD8" w:rsidRDefault="00052128" w:rsidP="009C03C6">
            <w:pPr>
              <w:pStyle w:val="Sansinterligne"/>
              <w:rPr>
                <w:rFonts w:ascii="Arial Narrow" w:hAnsi="Arial Narrow" w:cs="Times New Roman"/>
                <w:sz w:val="23"/>
                <w:szCs w:val="23"/>
                <w:lang w:val="fr-FR"/>
              </w:rPr>
            </w:pPr>
            <w:r w:rsidRPr="00556DD8">
              <w:rPr>
                <w:rFonts w:ascii="Arial Narrow" w:hAnsi="Arial Narrow" w:cs="Times New Roman"/>
                <w:b/>
                <w:bCs/>
                <w:sz w:val="23"/>
                <w:szCs w:val="23"/>
                <w:lang w:val="fr-FR"/>
              </w:rPr>
              <w:t>Livrable 3 :</w:t>
            </w:r>
            <w:r w:rsidRPr="00556DD8">
              <w:rPr>
                <w:rFonts w:ascii="Arial Narrow" w:hAnsi="Arial Narrow" w:cs="Times New Roman"/>
                <w:sz w:val="23"/>
                <w:szCs w:val="23"/>
                <w:lang w:val="fr-FR"/>
              </w:rPr>
              <w:t xml:space="preserve"> Le rapport final intégrant les recommandations formulées lors de l’atelier de validation. Y compris un support de communication le rapport final.</w:t>
            </w:r>
          </w:p>
        </w:tc>
        <w:tc>
          <w:tcPr>
            <w:tcW w:w="1666" w:type="dxa"/>
            <w:shd w:val="clear" w:color="auto" w:fill="auto"/>
          </w:tcPr>
          <w:p w14:paraId="2224A72A" w14:textId="77777777" w:rsidR="00052128" w:rsidRPr="00556DD8" w:rsidRDefault="00052128" w:rsidP="009C03C6">
            <w:pPr>
              <w:jc w:val="both"/>
              <w:rPr>
                <w:rFonts w:ascii="Arial Narrow" w:eastAsia="Times New Roman" w:hAnsi="Arial Narrow" w:cs="Times New Roman"/>
                <w:color w:val="000000"/>
                <w:sz w:val="23"/>
                <w:szCs w:val="23"/>
              </w:rPr>
            </w:pPr>
            <w:proofErr w:type="spellStart"/>
            <w:r w:rsidRPr="00556DD8">
              <w:rPr>
                <w:rFonts w:ascii="Arial Narrow" w:eastAsia="Times New Roman" w:hAnsi="Arial Narrow" w:cs="Times New Roman"/>
                <w:color w:val="000000"/>
                <w:sz w:val="23"/>
                <w:szCs w:val="23"/>
              </w:rPr>
              <w:t>Solde</w:t>
            </w:r>
            <w:proofErr w:type="spellEnd"/>
            <w:r w:rsidRPr="00556DD8">
              <w:rPr>
                <w:rFonts w:ascii="Arial Narrow" w:eastAsia="Times New Roman" w:hAnsi="Arial Narrow" w:cs="Times New Roman"/>
                <w:color w:val="000000"/>
                <w:sz w:val="23"/>
                <w:szCs w:val="23"/>
              </w:rPr>
              <w:t xml:space="preserve"> </w:t>
            </w:r>
            <w:proofErr w:type="spellStart"/>
            <w:r w:rsidRPr="00556DD8">
              <w:rPr>
                <w:rFonts w:ascii="Arial Narrow" w:eastAsia="Times New Roman" w:hAnsi="Arial Narrow" w:cs="Times New Roman"/>
                <w:color w:val="000000"/>
                <w:sz w:val="23"/>
                <w:szCs w:val="23"/>
              </w:rPr>
              <w:t>restant</w:t>
            </w:r>
            <w:proofErr w:type="spellEnd"/>
            <w:r w:rsidRPr="00556DD8">
              <w:rPr>
                <w:rFonts w:ascii="Arial Narrow" w:eastAsia="Times New Roman" w:hAnsi="Arial Narrow" w:cs="Times New Roman"/>
                <w:color w:val="000000"/>
                <w:sz w:val="23"/>
                <w:szCs w:val="23"/>
              </w:rPr>
              <w:t xml:space="preserve"> du </w:t>
            </w:r>
            <w:proofErr w:type="spellStart"/>
            <w:r w:rsidRPr="00556DD8">
              <w:rPr>
                <w:rFonts w:ascii="Arial Narrow" w:eastAsia="Times New Roman" w:hAnsi="Arial Narrow" w:cs="Times New Roman"/>
                <w:color w:val="000000"/>
                <w:sz w:val="23"/>
                <w:szCs w:val="23"/>
              </w:rPr>
              <w:t>contrat</w:t>
            </w:r>
            <w:proofErr w:type="spellEnd"/>
            <w:r w:rsidRPr="00556DD8">
              <w:rPr>
                <w:rFonts w:ascii="Arial Narrow" w:eastAsia="Times New Roman" w:hAnsi="Arial Narrow" w:cs="Times New Roman"/>
                <w:color w:val="000000"/>
                <w:sz w:val="23"/>
                <w:szCs w:val="23"/>
              </w:rPr>
              <w:t xml:space="preserve"> (20%)</w:t>
            </w:r>
          </w:p>
        </w:tc>
      </w:tr>
    </w:tbl>
    <w:p w14:paraId="3C0BA97E" w14:textId="77777777" w:rsidR="00052128" w:rsidRPr="00556DD8" w:rsidRDefault="00052128" w:rsidP="00052128">
      <w:pPr>
        <w:spacing w:after="0" w:line="240" w:lineRule="auto"/>
        <w:ind w:right="419"/>
        <w:jc w:val="both"/>
        <w:rPr>
          <w:rFonts w:ascii="Arial Narrow" w:hAnsi="Arial Narrow" w:cs="Times New Roman"/>
          <w:b/>
          <w:bCs/>
          <w:sz w:val="24"/>
          <w:szCs w:val="24"/>
        </w:rPr>
      </w:pPr>
    </w:p>
    <w:p w14:paraId="515139F4" w14:textId="46629B3C" w:rsidR="00A64E9E" w:rsidRPr="00052128" w:rsidRDefault="00052128" w:rsidP="00B164AB">
      <w:pPr>
        <w:rPr>
          <w:lang w:val="fr-FR"/>
        </w:rPr>
      </w:pPr>
      <w:r w:rsidRPr="00C622C0">
        <w:rPr>
          <w:rFonts w:ascii="Arial Narrow" w:eastAsia="Cambria" w:hAnsi="Arial Narrow" w:cs="Times New Roman"/>
          <w:b/>
          <w:bCs/>
          <w:color w:val="4472C4" w:themeColor="accent1"/>
          <w:sz w:val="24"/>
          <w:szCs w:val="24"/>
          <w:u w:val="single"/>
          <w:lang w:val="fr-FR"/>
        </w:rPr>
        <w:t>Les candidatures féminines sont fortement encouragées !!!</w:t>
      </w:r>
    </w:p>
    <w:sectPr w:rsidR="00A64E9E" w:rsidRPr="00052128" w:rsidSect="00443E94">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9E49" w14:textId="77777777" w:rsidR="001917FC" w:rsidRDefault="001917FC">
      <w:pPr>
        <w:spacing w:after="0" w:line="240" w:lineRule="auto"/>
      </w:pPr>
      <w:r>
        <w:separator/>
      </w:r>
    </w:p>
  </w:endnote>
  <w:endnote w:type="continuationSeparator" w:id="0">
    <w:p w14:paraId="222ED418" w14:textId="77777777" w:rsidR="001917FC" w:rsidRDefault="0019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050645"/>
      <w:docPartObj>
        <w:docPartGallery w:val="Page Numbers (Bottom of Page)"/>
        <w:docPartUnique/>
      </w:docPartObj>
    </w:sdtPr>
    <w:sdtEndPr/>
    <w:sdtContent>
      <w:p w14:paraId="1F3F9D1E" w14:textId="5312BFDD" w:rsidR="00310FC9" w:rsidRDefault="00052128" w:rsidP="007A63C4">
        <w:pPr>
          <w:pStyle w:val="Pieddepage"/>
          <w:jc w:val="cen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9502" w14:textId="77777777" w:rsidR="001917FC" w:rsidRDefault="001917FC">
      <w:pPr>
        <w:spacing w:after="0" w:line="240" w:lineRule="auto"/>
      </w:pPr>
      <w:r>
        <w:separator/>
      </w:r>
    </w:p>
  </w:footnote>
  <w:footnote w:type="continuationSeparator" w:id="0">
    <w:p w14:paraId="7C489FF0" w14:textId="77777777" w:rsidR="001917FC" w:rsidRDefault="00191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1E4"/>
    <w:multiLevelType w:val="hybridMultilevel"/>
    <w:tmpl w:val="A4A28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7304D9"/>
    <w:multiLevelType w:val="multilevel"/>
    <w:tmpl w:val="51D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5361C"/>
    <w:multiLevelType w:val="multilevel"/>
    <w:tmpl w:val="51D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457F0"/>
    <w:multiLevelType w:val="hybridMultilevel"/>
    <w:tmpl w:val="B0FEAEC0"/>
    <w:lvl w:ilvl="0" w:tplc="3350F4D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73A5997"/>
    <w:multiLevelType w:val="hybridMultilevel"/>
    <w:tmpl w:val="F2BEEB5E"/>
    <w:lvl w:ilvl="0" w:tplc="2000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852C77"/>
    <w:multiLevelType w:val="hybridMultilevel"/>
    <w:tmpl w:val="36327BB2"/>
    <w:lvl w:ilvl="0" w:tplc="06DA3B7C">
      <w:numFmt w:val="bullet"/>
      <w:lvlText w:val="•"/>
      <w:lvlJc w:val="left"/>
      <w:pPr>
        <w:ind w:left="-2840" w:hanging="360"/>
      </w:pPr>
      <w:rPr>
        <w:rFonts w:ascii="Maiandra GD" w:eastAsia="Calibri" w:hAnsi="Maiandra GD" w:cs="Times New Roman" w:hint="default"/>
      </w:rPr>
    </w:lvl>
    <w:lvl w:ilvl="1" w:tplc="0C0C0003" w:tentative="1">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1400" w:hanging="360"/>
      </w:pPr>
      <w:rPr>
        <w:rFonts w:ascii="Wingdings" w:hAnsi="Wingdings" w:hint="default"/>
      </w:rPr>
    </w:lvl>
    <w:lvl w:ilvl="3" w:tplc="0C0C0001" w:tentative="1">
      <w:start w:val="1"/>
      <w:numFmt w:val="bullet"/>
      <w:lvlText w:val=""/>
      <w:lvlJc w:val="left"/>
      <w:pPr>
        <w:ind w:left="-680" w:hanging="360"/>
      </w:pPr>
      <w:rPr>
        <w:rFonts w:ascii="Symbol" w:hAnsi="Symbol" w:hint="default"/>
      </w:rPr>
    </w:lvl>
    <w:lvl w:ilvl="4" w:tplc="0C0C0003" w:tentative="1">
      <w:start w:val="1"/>
      <w:numFmt w:val="bullet"/>
      <w:lvlText w:val="o"/>
      <w:lvlJc w:val="left"/>
      <w:pPr>
        <w:ind w:left="40" w:hanging="360"/>
      </w:pPr>
      <w:rPr>
        <w:rFonts w:ascii="Courier New" w:hAnsi="Courier New" w:cs="Courier New" w:hint="default"/>
      </w:rPr>
    </w:lvl>
    <w:lvl w:ilvl="5" w:tplc="0C0C0005" w:tentative="1">
      <w:start w:val="1"/>
      <w:numFmt w:val="bullet"/>
      <w:lvlText w:val=""/>
      <w:lvlJc w:val="left"/>
      <w:pPr>
        <w:ind w:left="760" w:hanging="360"/>
      </w:pPr>
      <w:rPr>
        <w:rFonts w:ascii="Wingdings" w:hAnsi="Wingdings" w:hint="default"/>
      </w:rPr>
    </w:lvl>
    <w:lvl w:ilvl="6" w:tplc="0C0C0001" w:tentative="1">
      <w:start w:val="1"/>
      <w:numFmt w:val="bullet"/>
      <w:lvlText w:val=""/>
      <w:lvlJc w:val="left"/>
      <w:pPr>
        <w:ind w:left="1480" w:hanging="360"/>
      </w:pPr>
      <w:rPr>
        <w:rFonts w:ascii="Symbol" w:hAnsi="Symbol" w:hint="default"/>
      </w:rPr>
    </w:lvl>
    <w:lvl w:ilvl="7" w:tplc="0C0C0003" w:tentative="1">
      <w:start w:val="1"/>
      <w:numFmt w:val="bullet"/>
      <w:lvlText w:val="o"/>
      <w:lvlJc w:val="left"/>
      <w:pPr>
        <w:ind w:left="2200" w:hanging="360"/>
      </w:pPr>
      <w:rPr>
        <w:rFonts w:ascii="Courier New" w:hAnsi="Courier New" w:cs="Courier New" w:hint="default"/>
      </w:rPr>
    </w:lvl>
    <w:lvl w:ilvl="8" w:tplc="0C0C0005" w:tentative="1">
      <w:start w:val="1"/>
      <w:numFmt w:val="bullet"/>
      <w:lvlText w:val=""/>
      <w:lvlJc w:val="left"/>
      <w:pPr>
        <w:ind w:left="2920" w:hanging="360"/>
      </w:pPr>
      <w:rPr>
        <w:rFonts w:ascii="Wingdings" w:hAnsi="Wingdings" w:hint="default"/>
      </w:rPr>
    </w:lvl>
  </w:abstractNum>
  <w:abstractNum w:abstractNumId="6" w15:restartNumberingAfterBreak="0">
    <w:nsid w:val="46B424C5"/>
    <w:multiLevelType w:val="hybridMultilevel"/>
    <w:tmpl w:val="9850C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5453C"/>
    <w:multiLevelType w:val="hybridMultilevel"/>
    <w:tmpl w:val="91780D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7243AD0"/>
    <w:multiLevelType w:val="hybridMultilevel"/>
    <w:tmpl w:val="1DEC2F9A"/>
    <w:lvl w:ilvl="0" w:tplc="9DA09FC8">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170556F"/>
    <w:multiLevelType w:val="hybridMultilevel"/>
    <w:tmpl w:val="B6F42CA0"/>
    <w:lvl w:ilvl="0" w:tplc="9DA09FC8">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69E77E30"/>
    <w:multiLevelType w:val="hybridMultilevel"/>
    <w:tmpl w:val="85F6AE9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5202863"/>
    <w:multiLevelType w:val="hybridMultilevel"/>
    <w:tmpl w:val="294214BE"/>
    <w:lvl w:ilvl="0" w:tplc="9DA09FC8">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FDE484A"/>
    <w:multiLevelType w:val="hybridMultilevel"/>
    <w:tmpl w:val="E7CAC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1"/>
  </w:num>
  <w:num w:numId="5">
    <w:abstractNumId w:val="10"/>
  </w:num>
  <w:num w:numId="6">
    <w:abstractNumId w:val="7"/>
  </w:num>
  <w:num w:numId="7">
    <w:abstractNumId w:val="2"/>
  </w:num>
  <w:num w:numId="8">
    <w:abstractNumId w:val="8"/>
  </w:num>
  <w:num w:numId="9">
    <w:abstractNumId w:val="3"/>
  </w:num>
  <w:num w:numId="10">
    <w:abstractNumId w:val="6"/>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AB"/>
    <w:rsid w:val="00052128"/>
    <w:rsid w:val="000A158C"/>
    <w:rsid w:val="001917FC"/>
    <w:rsid w:val="002531A4"/>
    <w:rsid w:val="003B5DF4"/>
    <w:rsid w:val="0052371F"/>
    <w:rsid w:val="007A63C4"/>
    <w:rsid w:val="00806F05"/>
    <w:rsid w:val="00A64E9E"/>
    <w:rsid w:val="00A7795A"/>
    <w:rsid w:val="00B164AB"/>
    <w:rsid w:val="00C06A42"/>
    <w:rsid w:val="00E52E86"/>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8DC2"/>
  <w15:chartTrackingRefBased/>
  <w15:docId w15:val="{0F4A0AE5-94FC-46D5-A6D7-A14FEB2D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AB"/>
    <w:pPr>
      <w:spacing w:after="200" w:line="276" w:lineRule="auto"/>
    </w:pPr>
    <w:rPr>
      <w:lang w:val="en-US"/>
    </w:rPr>
  </w:style>
  <w:style w:type="paragraph" w:styleId="Titre2">
    <w:name w:val="heading 2"/>
    <w:basedOn w:val="Normal"/>
    <w:next w:val="Normal"/>
    <w:link w:val="Titre2Car"/>
    <w:uiPriority w:val="9"/>
    <w:semiHidden/>
    <w:unhideWhenUsed/>
    <w:qFormat/>
    <w:rsid w:val="00B164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164AB"/>
    <w:rPr>
      <w:rFonts w:asciiTheme="majorHAnsi" w:eastAsiaTheme="majorEastAsia" w:hAnsiTheme="majorHAnsi" w:cstheme="majorBidi"/>
      <w:color w:val="2F5496" w:themeColor="accent1" w:themeShade="BF"/>
      <w:sz w:val="26"/>
      <w:szCs w:val="26"/>
      <w:lang w:val="en-US"/>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basedOn w:val="Policepardfaut"/>
    <w:link w:val="Paragraphedeliste"/>
    <w:uiPriority w:val="99"/>
    <w:qFormat/>
    <w:locked/>
    <w:rsid w:val="00B164AB"/>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99"/>
    <w:qFormat/>
    <w:rsid w:val="00B164AB"/>
    <w:pPr>
      <w:ind w:left="720"/>
      <w:contextualSpacing/>
    </w:pPr>
  </w:style>
  <w:style w:type="paragraph" w:styleId="Pieddepage">
    <w:name w:val="footer"/>
    <w:basedOn w:val="Normal"/>
    <w:link w:val="PieddepageCar"/>
    <w:uiPriority w:val="99"/>
    <w:unhideWhenUsed/>
    <w:rsid w:val="00B164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64AB"/>
    <w:rPr>
      <w:lang w:val="en-US"/>
    </w:rPr>
  </w:style>
  <w:style w:type="character" w:styleId="Lienhypertexte">
    <w:name w:val="Hyperlink"/>
    <w:basedOn w:val="Policepardfaut"/>
    <w:uiPriority w:val="99"/>
    <w:unhideWhenUsed/>
    <w:rsid w:val="00B164AB"/>
    <w:rPr>
      <w:color w:val="0563C1" w:themeColor="hyperlink"/>
      <w:u w:val="single"/>
    </w:rPr>
  </w:style>
  <w:style w:type="character" w:styleId="lev">
    <w:name w:val="Strong"/>
    <w:basedOn w:val="Policepardfaut"/>
    <w:uiPriority w:val="22"/>
    <w:qFormat/>
    <w:rsid w:val="00B164AB"/>
    <w:rPr>
      <w:b/>
      <w:bCs/>
    </w:rPr>
  </w:style>
  <w:style w:type="paragraph" w:customStyle="1" w:styleId="Default">
    <w:name w:val="Default"/>
    <w:rsid w:val="00B164AB"/>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Corpsdetexte">
    <w:name w:val="Body Text"/>
    <w:basedOn w:val="Normal"/>
    <w:link w:val="CorpsdetexteCar"/>
    <w:uiPriority w:val="99"/>
    <w:unhideWhenUsed/>
    <w:rsid w:val="00B164AB"/>
    <w:pPr>
      <w:spacing w:after="120" w:line="240" w:lineRule="auto"/>
    </w:pPr>
    <w:rPr>
      <w:rFonts w:ascii="Arial" w:eastAsia="Times New Roman" w:hAnsi="Arial" w:cs="Times New Roman"/>
      <w:sz w:val="20"/>
      <w:szCs w:val="24"/>
    </w:rPr>
  </w:style>
  <w:style w:type="character" w:customStyle="1" w:styleId="CorpsdetexteCar">
    <w:name w:val="Corps de texte Car"/>
    <w:basedOn w:val="Policepardfaut"/>
    <w:link w:val="Corpsdetexte"/>
    <w:uiPriority w:val="99"/>
    <w:rsid w:val="00B164AB"/>
    <w:rPr>
      <w:rFonts w:ascii="Arial" w:eastAsia="Times New Roman" w:hAnsi="Arial" w:cs="Times New Roman"/>
      <w:sz w:val="20"/>
      <w:szCs w:val="24"/>
      <w:lang w:val="en-US"/>
    </w:rPr>
  </w:style>
  <w:style w:type="character" w:styleId="Mentionnonrsolue">
    <w:name w:val="Unresolved Mention"/>
    <w:basedOn w:val="Policepardfaut"/>
    <w:uiPriority w:val="99"/>
    <w:semiHidden/>
    <w:unhideWhenUsed/>
    <w:rsid w:val="00806F05"/>
    <w:rPr>
      <w:color w:val="605E5C"/>
      <w:shd w:val="clear" w:color="auto" w:fill="E1DFDD"/>
    </w:rPr>
  </w:style>
  <w:style w:type="character" w:styleId="Appelnotedebasdep">
    <w:name w:val="footnote reference"/>
    <w:aliases w:val="16 Point,Superscript 6 Point,Superscript 6 Point + 11 pt,ftref,fr,Footnote Ref in FtNote,Style 24,o,SUPERS,Car Car Char Car Char Car Car Char Car Char Char,Error-Fußnotenzeichen5,Error-Fußnotenzeichen6,Ref,BVI fnr"/>
    <w:basedOn w:val="Policepardfaut"/>
    <w:link w:val="BVIfnrCarChar"/>
    <w:uiPriority w:val="99"/>
    <w:unhideWhenUsed/>
    <w:qFormat/>
    <w:rsid w:val="0052371F"/>
    <w:rPr>
      <w:vertAlign w:val="superscript"/>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52371F"/>
    <w:pPr>
      <w:spacing w:after="160" w:line="240" w:lineRule="exact"/>
    </w:pPr>
    <w:rPr>
      <w:vertAlign w:val="superscript"/>
    </w:rPr>
  </w:style>
  <w:style w:type="table" w:styleId="Grilledutableau">
    <w:name w:val="Table Grid"/>
    <w:basedOn w:val="TableauNormal"/>
    <w:uiPriority w:val="39"/>
    <w:rsid w:val="002531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052128"/>
    <w:pPr>
      <w:spacing w:after="0" w:line="240" w:lineRule="auto"/>
    </w:pPr>
    <w:rPr>
      <w:lang w:val="en-US"/>
    </w:rPr>
  </w:style>
  <w:style w:type="character" w:customStyle="1" w:styleId="SansinterligneCar">
    <w:name w:val="Sans interligne Car"/>
    <w:link w:val="Sansinterligne"/>
    <w:uiPriority w:val="1"/>
    <w:locked/>
    <w:rsid w:val="00052128"/>
    <w:rPr>
      <w:lang w:val="en-US"/>
    </w:rPr>
  </w:style>
  <w:style w:type="paragraph" w:styleId="En-tte">
    <w:name w:val="header"/>
    <w:basedOn w:val="Normal"/>
    <w:link w:val="En-tteCar"/>
    <w:uiPriority w:val="99"/>
    <w:unhideWhenUsed/>
    <w:rsid w:val="00E52E86"/>
    <w:pPr>
      <w:tabs>
        <w:tab w:val="center" w:pos="4536"/>
        <w:tab w:val="right" w:pos="9072"/>
      </w:tabs>
      <w:spacing w:after="0" w:line="240" w:lineRule="auto"/>
    </w:pPr>
  </w:style>
  <w:style w:type="character" w:customStyle="1" w:styleId="En-tteCar">
    <w:name w:val="En-tête Car"/>
    <w:basedOn w:val="Policepardfaut"/>
    <w:link w:val="En-tte"/>
    <w:uiPriority w:val="99"/>
    <w:rsid w:val="00E52E86"/>
    <w:rPr>
      <w:lang w:val="en-US"/>
    </w:rPr>
  </w:style>
  <w:style w:type="paragraph" w:styleId="Rvision">
    <w:name w:val="Revision"/>
    <w:hidden/>
    <w:uiPriority w:val="99"/>
    <w:semiHidden/>
    <w:rsid w:val="00E52E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d@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Madjiadoum Kette</dc:creator>
  <cp:keywords/>
  <dc:description/>
  <cp:lastModifiedBy>Caleb Madjiadoum Kette</cp:lastModifiedBy>
  <cp:revision>2</cp:revision>
  <dcterms:created xsi:type="dcterms:W3CDTF">2022-06-16T08:41:00Z</dcterms:created>
  <dcterms:modified xsi:type="dcterms:W3CDTF">2022-06-16T08:41:00Z</dcterms:modified>
</cp:coreProperties>
</file>