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EE44" w14:textId="059A0443" w:rsidR="00580ADE" w:rsidRPr="00B6562C" w:rsidRDefault="00E9544A" w:rsidP="00580ADE">
      <w:pPr>
        <w:jc w:val="center"/>
        <w:rPr>
          <w:rFonts w:ascii="Times New Roman" w:hAnsi="Times New Roman" w:cs="Times New Roman"/>
          <w:b/>
          <w:color w:val="000000"/>
          <w:sz w:val="22"/>
          <w:szCs w:val="22"/>
          <w:lang w:val="es-DO"/>
        </w:rPr>
      </w:pPr>
      <w:r w:rsidRPr="00B6562C">
        <w:rPr>
          <w:rFonts w:ascii="Times New Roman" w:hAnsi="Times New Roman" w:cs="Times New Roman"/>
          <w:b/>
          <w:noProof/>
          <w:color w:val="000000"/>
          <w:sz w:val="22"/>
          <w:szCs w:val="22"/>
          <w:lang w:val="es-DO" w:eastAsia="es-DO"/>
        </w:rPr>
        <w:drawing>
          <wp:anchor distT="0" distB="0" distL="114300" distR="114300" simplePos="0" relativeHeight="251659264" behindDoc="0" locked="0" layoutInCell="1" allowOverlap="1" wp14:anchorId="53B94076" wp14:editId="2C843B1F">
            <wp:simplePos x="0" y="0"/>
            <wp:positionH relativeFrom="margin">
              <wp:align>right</wp:align>
            </wp:positionH>
            <wp:positionV relativeFrom="paragraph">
              <wp:posOffset>9525</wp:posOffset>
            </wp:positionV>
            <wp:extent cx="570865" cy="1004570"/>
            <wp:effectExtent l="0" t="0" r="635" b="5080"/>
            <wp:wrapThrough wrapText="bothSides">
              <wp:wrapPolygon edited="0">
                <wp:start x="0" y="0"/>
                <wp:lineTo x="0" y="21300"/>
                <wp:lineTo x="20903" y="21300"/>
                <wp:lineTo x="20182" y="0"/>
                <wp:lineTo x="0" y="0"/>
              </wp:wrapPolygon>
            </wp:wrapThrough>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rotWithShape="1">
                    <a:blip r:embed="rId10">
                      <a:extLst>
                        <a:ext uri="{28A0092B-C50C-407E-A947-70E740481C1C}">
                          <a14:useLocalDpi xmlns:a14="http://schemas.microsoft.com/office/drawing/2010/main" val="0"/>
                        </a:ext>
                      </a:extLst>
                    </a:blip>
                    <a:srcRect l="19593" t="14824" r="18360" b="13571"/>
                    <a:stretch/>
                  </pic:blipFill>
                  <pic:spPr bwMode="auto">
                    <a:xfrm>
                      <a:off x="0" y="0"/>
                      <a:ext cx="570865"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E74919" w14:textId="77777777" w:rsidR="00580ADE" w:rsidRPr="00B6562C" w:rsidRDefault="00580ADE" w:rsidP="00580ADE">
      <w:pPr>
        <w:jc w:val="center"/>
        <w:rPr>
          <w:rFonts w:ascii="Times New Roman" w:hAnsi="Times New Roman" w:cs="Times New Roman"/>
          <w:b/>
          <w:color w:val="000000"/>
          <w:sz w:val="22"/>
          <w:szCs w:val="22"/>
          <w:lang w:val="es-DO"/>
        </w:rPr>
      </w:pPr>
    </w:p>
    <w:p w14:paraId="59EC05DF" w14:textId="77777777" w:rsidR="00580ADE" w:rsidRPr="00B6562C" w:rsidRDefault="00580ADE" w:rsidP="00580ADE">
      <w:pPr>
        <w:jc w:val="center"/>
        <w:rPr>
          <w:rFonts w:ascii="Times New Roman" w:hAnsi="Times New Roman" w:cs="Times New Roman"/>
          <w:b/>
          <w:color w:val="000000"/>
          <w:sz w:val="22"/>
          <w:szCs w:val="22"/>
          <w:lang w:val="es-DO"/>
        </w:rPr>
      </w:pPr>
    </w:p>
    <w:p w14:paraId="4EAA18EC" w14:textId="77777777" w:rsidR="00580ADE" w:rsidRPr="00B6562C" w:rsidRDefault="00580ADE" w:rsidP="00580ADE">
      <w:pPr>
        <w:jc w:val="center"/>
        <w:rPr>
          <w:rFonts w:ascii="Times New Roman" w:hAnsi="Times New Roman" w:cs="Times New Roman"/>
          <w:b/>
          <w:color w:val="000000"/>
          <w:sz w:val="22"/>
          <w:szCs w:val="22"/>
          <w:lang w:val="es-DO"/>
        </w:rPr>
      </w:pPr>
    </w:p>
    <w:p w14:paraId="646E9C8E" w14:textId="090C0DE7" w:rsidR="00580ADE" w:rsidRPr="00B6562C" w:rsidRDefault="00580ADE" w:rsidP="00580ADE">
      <w:pPr>
        <w:jc w:val="center"/>
        <w:rPr>
          <w:rFonts w:ascii="Times New Roman" w:hAnsi="Times New Roman" w:cs="Times New Roman"/>
          <w:b/>
          <w:color w:val="000000"/>
          <w:lang w:val="es-DO"/>
        </w:rPr>
      </w:pPr>
      <w:r w:rsidRPr="00B6562C">
        <w:rPr>
          <w:rFonts w:ascii="Times New Roman" w:hAnsi="Times New Roman" w:cs="Times New Roman"/>
          <w:b/>
          <w:color w:val="000000"/>
          <w:lang w:val="es-DO"/>
        </w:rPr>
        <w:t>TÉRMINOS DE REFERENCIA</w:t>
      </w:r>
    </w:p>
    <w:p w14:paraId="24BE2AA3" w14:textId="5DAE8BE9" w:rsidR="00C827B1" w:rsidRPr="006A17C7" w:rsidRDefault="00C827B1" w:rsidP="00C827B1">
      <w:pPr>
        <w:tabs>
          <w:tab w:val="num" w:pos="1080"/>
        </w:tabs>
        <w:jc w:val="center"/>
        <w:rPr>
          <w:rFonts w:ascii="Times New Roman" w:hAnsi="Times New Roman" w:cs="Times New Roman"/>
          <w:b/>
          <w:color w:val="000000"/>
          <w:lang w:val="es-DO"/>
        </w:rPr>
      </w:pPr>
      <w:r>
        <w:rPr>
          <w:rFonts w:ascii="Times New Roman" w:hAnsi="Times New Roman" w:cs="Times New Roman"/>
          <w:b/>
          <w:color w:val="000000"/>
          <w:lang w:val="es-DO"/>
        </w:rPr>
        <w:t xml:space="preserve">Proyecto </w:t>
      </w:r>
      <w:r w:rsidR="009223BC" w:rsidRPr="009223BC">
        <w:rPr>
          <w:rFonts w:ascii="Times New Roman" w:hAnsi="Times New Roman" w:cs="Times New Roman"/>
          <w:b/>
          <w:color w:val="000000"/>
          <w:lang w:val="es-DO"/>
        </w:rPr>
        <w:t>102619</w:t>
      </w:r>
      <w:r>
        <w:rPr>
          <w:rFonts w:ascii="Times New Roman" w:hAnsi="Times New Roman" w:cs="Times New Roman"/>
          <w:b/>
          <w:color w:val="000000"/>
          <w:lang w:val="es-DO"/>
        </w:rPr>
        <w:t>-</w:t>
      </w:r>
      <w:r w:rsidRPr="00C751CD">
        <w:rPr>
          <w:rFonts w:ascii="Times New Roman" w:hAnsi="Times New Roman" w:cs="Times New Roman"/>
          <w:b/>
          <w:color w:val="000000"/>
          <w:lang w:val="es-DO"/>
        </w:rPr>
        <w:t xml:space="preserve">Programa Cocoa Life en la </w:t>
      </w:r>
      <w:r>
        <w:rPr>
          <w:rFonts w:ascii="Times New Roman" w:hAnsi="Times New Roman" w:cs="Times New Roman"/>
          <w:b/>
          <w:color w:val="000000"/>
          <w:lang w:val="es-DO"/>
        </w:rPr>
        <w:t>República Dominicana – Fase II</w:t>
      </w:r>
      <w:r w:rsidRPr="00C751CD">
        <w:rPr>
          <w:rFonts w:ascii="Times New Roman" w:hAnsi="Times New Roman" w:cs="Times New Roman"/>
          <w:b/>
          <w:color w:val="000000"/>
          <w:lang w:val="es-DO"/>
        </w:rPr>
        <w:t>.</w:t>
      </w:r>
    </w:p>
    <w:p w14:paraId="1EAB5BDB" w14:textId="02F47C2A" w:rsidR="00A0243A" w:rsidRPr="00494A87" w:rsidRDefault="00A0243A" w:rsidP="00A0243A">
      <w:pPr>
        <w:tabs>
          <w:tab w:val="num" w:pos="1080"/>
        </w:tabs>
        <w:jc w:val="center"/>
        <w:rPr>
          <w:rFonts w:ascii="Times New Roman" w:hAnsi="Times New Roman" w:cs="Times New Roman"/>
          <w:b/>
          <w:i/>
          <w:iCs/>
          <w:lang w:val="es-DO"/>
        </w:rPr>
      </w:pPr>
      <w:r>
        <w:rPr>
          <w:rFonts w:ascii="Times New Roman" w:hAnsi="Times New Roman" w:cs="Times New Roman"/>
          <w:b/>
          <w:iCs/>
          <w:lang w:val="es-DO"/>
        </w:rPr>
        <w:t>“</w:t>
      </w:r>
      <w:r w:rsidR="00AF7CEC">
        <w:rPr>
          <w:rFonts w:ascii="Times New Roman" w:hAnsi="Times New Roman" w:cs="Times New Roman"/>
          <w:b/>
          <w:iCs/>
          <w:lang w:val="es-DO"/>
        </w:rPr>
        <w:t xml:space="preserve">Consultoría para </w:t>
      </w:r>
      <w:r w:rsidR="00C37658">
        <w:rPr>
          <w:rFonts w:ascii="Times New Roman" w:hAnsi="Times New Roman" w:cs="Times New Roman"/>
          <w:b/>
          <w:iCs/>
          <w:lang w:val="es-DO"/>
        </w:rPr>
        <w:t>r</w:t>
      </w:r>
      <w:r w:rsidR="00C37658" w:rsidRPr="00C37658">
        <w:rPr>
          <w:rFonts w:ascii="Times New Roman" w:hAnsi="Times New Roman" w:cs="Times New Roman"/>
          <w:b/>
          <w:iCs/>
          <w:lang w:val="es-DO"/>
        </w:rPr>
        <w:t xml:space="preserve">ealizar una evaluación rápida del estado de los </w:t>
      </w:r>
      <w:r w:rsidR="00C37658">
        <w:rPr>
          <w:rFonts w:ascii="Times New Roman" w:hAnsi="Times New Roman" w:cs="Times New Roman"/>
          <w:b/>
          <w:iCs/>
          <w:lang w:val="es-DO"/>
        </w:rPr>
        <w:t>Planes de Acción Comunitarios (</w:t>
      </w:r>
      <w:r w:rsidR="00C37658" w:rsidRPr="00C37658">
        <w:rPr>
          <w:rFonts w:ascii="Times New Roman" w:hAnsi="Times New Roman" w:cs="Times New Roman"/>
          <w:b/>
          <w:iCs/>
          <w:lang w:val="es-DO"/>
        </w:rPr>
        <w:t>CAP</w:t>
      </w:r>
      <w:r w:rsidR="00C37658">
        <w:rPr>
          <w:rFonts w:ascii="Times New Roman" w:hAnsi="Times New Roman" w:cs="Times New Roman"/>
          <w:b/>
          <w:iCs/>
          <w:lang w:val="es-DO"/>
        </w:rPr>
        <w:t>)</w:t>
      </w:r>
      <w:r w:rsidR="00C37658" w:rsidRPr="00C37658">
        <w:rPr>
          <w:rFonts w:ascii="Times New Roman" w:hAnsi="Times New Roman" w:cs="Times New Roman"/>
          <w:b/>
          <w:iCs/>
          <w:lang w:val="es-DO"/>
        </w:rPr>
        <w:t xml:space="preserve"> y </w:t>
      </w:r>
      <w:r w:rsidR="00C37658">
        <w:rPr>
          <w:rFonts w:ascii="Times New Roman" w:hAnsi="Times New Roman" w:cs="Times New Roman"/>
          <w:b/>
          <w:iCs/>
          <w:lang w:val="es-DO"/>
        </w:rPr>
        <w:t>Comités de Desarrollo Comunitarios (</w:t>
      </w:r>
      <w:r w:rsidR="00C37658" w:rsidRPr="00C37658">
        <w:rPr>
          <w:rFonts w:ascii="Times New Roman" w:hAnsi="Times New Roman" w:cs="Times New Roman"/>
          <w:b/>
          <w:iCs/>
          <w:lang w:val="es-DO"/>
        </w:rPr>
        <w:t>CODEC</w:t>
      </w:r>
      <w:r w:rsidR="00C37658">
        <w:rPr>
          <w:rFonts w:ascii="Times New Roman" w:hAnsi="Times New Roman" w:cs="Times New Roman"/>
          <w:b/>
          <w:iCs/>
          <w:lang w:val="es-DO"/>
        </w:rPr>
        <w:t>)</w:t>
      </w:r>
      <w:r w:rsidR="00C37658" w:rsidRPr="00C37658">
        <w:rPr>
          <w:rFonts w:ascii="Times New Roman" w:hAnsi="Times New Roman" w:cs="Times New Roman"/>
          <w:b/>
          <w:iCs/>
          <w:lang w:val="es-DO"/>
        </w:rPr>
        <w:t xml:space="preserve"> establecidos desde el inicio del </w:t>
      </w:r>
      <w:r w:rsidR="00C37658">
        <w:rPr>
          <w:rFonts w:ascii="Times New Roman" w:hAnsi="Times New Roman" w:cs="Times New Roman"/>
          <w:b/>
          <w:iCs/>
          <w:lang w:val="es-DO"/>
        </w:rPr>
        <w:t>Programa Cocoa Life (</w:t>
      </w:r>
      <w:r w:rsidR="00C37658" w:rsidRPr="00C37658">
        <w:rPr>
          <w:rFonts w:ascii="Times New Roman" w:hAnsi="Times New Roman" w:cs="Times New Roman"/>
          <w:b/>
          <w:iCs/>
          <w:lang w:val="es-DO"/>
        </w:rPr>
        <w:t>CLP</w:t>
      </w:r>
      <w:r w:rsidR="00C37658">
        <w:rPr>
          <w:rFonts w:ascii="Times New Roman" w:hAnsi="Times New Roman" w:cs="Times New Roman"/>
          <w:b/>
          <w:iCs/>
          <w:lang w:val="es-DO"/>
        </w:rPr>
        <w:t>)</w:t>
      </w:r>
      <w:r w:rsidR="00C37658" w:rsidRPr="00C37658">
        <w:rPr>
          <w:rFonts w:ascii="Times New Roman" w:hAnsi="Times New Roman" w:cs="Times New Roman"/>
          <w:b/>
          <w:iCs/>
          <w:lang w:val="es-DO"/>
        </w:rPr>
        <w:t xml:space="preserve"> en R</w:t>
      </w:r>
      <w:r w:rsidR="00C37658">
        <w:rPr>
          <w:rFonts w:ascii="Times New Roman" w:hAnsi="Times New Roman" w:cs="Times New Roman"/>
          <w:b/>
          <w:iCs/>
          <w:lang w:val="es-DO"/>
        </w:rPr>
        <w:t xml:space="preserve">epública </w:t>
      </w:r>
      <w:r w:rsidR="00C37658" w:rsidRPr="00C37658">
        <w:rPr>
          <w:rFonts w:ascii="Times New Roman" w:hAnsi="Times New Roman" w:cs="Times New Roman"/>
          <w:b/>
          <w:iCs/>
          <w:lang w:val="es-DO"/>
        </w:rPr>
        <w:t>D</w:t>
      </w:r>
      <w:r w:rsidR="00C37658">
        <w:rPr>
          <w:rFonts w:ascii="Times New Roman" w:hAnsi="Times New Roman" w:cs="Times New Roman"/>
          <w:b/>
          <w:iCs/>
          <w:lang w:val="es-DO"/>
        </w:rPr>
        <w:t>ominicana</w:t>
      </w:r>
      <w:r>
        <w:rPr>
          <w:rFonts w:ascii="Times New Roman" w:hAnsi="Times New Roman" w:cs="Times New Roman"/>
          <w:b/>
          <w:i/>
          <w:iCs/>
          <w:lang w:val="es-DO"/>
        </w:rPr>
        <w:t>”</w:t>
      </w:r>
    </w:p>
    <w:p w14:paraId="0A914BEB" w14:textId="77777777" w:rsidR="003C772C" w:rsidRPr="00C37658" w:rsidRDefault="003C772C" w:rsidP="00A77362">
      <w:pPr>
        <w:spacing w:after="120"/>
        <w:jc w:val="both"/>
        <w:rPr>
          <w:rFonts w:ascii="Times New Roman" w:hAnsi="Times New Roman" w:cs="Times New Roman"/>
          <w:b/>
          <w:lang w:val="es-DO"/>
        </w:rPr>
      </w:pPr>
    </w:p>
    <w:p w14:paraId="7003198B" w14:textId="2A65483E" w:rsidR="00580ADE" w:rsidRPr="00B6562C" w:rsidRDefault="00580ADE" w:rsidP="00A77362">
      <w:pPr>
        <w:spacing w:after="120"/>
        <w:jc w:val="both"/>
        <w:rPr>
          <w:rFonts w:ascii="Times New Roman" w:hAnsi="Times New Roman" w:cs="Times New Roman"/>
          <w:b/>
        </w:rPr>
      </w:pPr>
      <w:r w:rsidRPr="00B6562C">
        <w:rPr>
          <w:rFonts w:ascii="Times New Roman" w:hAnsi="Times New Roman" w:cs="Times New Roman"/>
          <w:b/>
        </w:rPr>
        <w:t>I. Descripción de Proyecto:</w:t>
      </w:r>
    </w:p>
    <w:p w14:paraId="3CBC203D" w14:textId="77777777" w:rsidR="00C65A4D" w:rsidRPr="00B6562C" w:rsidRDefault="00C65A4D" w:rsidP="00C65A4D">
      <w:pPr>
        <w:widowControl w:val="0"/>
        <w:autoSpaceDE w:val="0"/>
        <w:autoSpaceDN w:val="0"/>
        <w:adjustRightInd w:val="0"/>
        <w:spacing w:after="120"/>
        <w:jc w:val="both"/>
        <w:rPr>
          <w:rFonts w:ascii="Times New Roman" w:hAnsi="Times New Roman" w:cs="Times New Roman"/>
          <w:color w:val="000000"/>
          <w:lang w:val="es-ES"/>
        </w:rPr>
      </w:pPr>
      <w:r w:rsidRPr="00B6562C">
        <w:rPr>
          <w:rFonts w:ascii="Times New Roman" w:hAnsi="Times New Roman" w:cs="Times New Roman"/>
          <w:color w:val="000000"/>
          <w:lang w:val="es-ES"/>
        </w:rPr>
        <w:t xml:space="preserve">I.1- El Programa de las Naciones Unidas para el Desarrollo (PNUD) apoya el fortalecimiento de las capacidades nacionales en República Dominicana y promueve el alcance de los Objetivos de Desarrollo Sostenible (ODS), los derechos humanos y la equidad de género, a través de asistencia técnica a fin de alcanzar un desarrollo humano sostenible. A través de la Unidad de Sostenibilidad Ambiental y Resiliencia, el PNUD busca promover la sostenibilidad ambiental y establecerla como base sobre la cual se construyan las estrategias de lucha contra la pobreza, la reducción de la vulnerabilidad de la población y el desarrollo de las actividades motoras de la economía nacional. </w:t>
      </w:r>
    </w:p>
    <w:p w14:paraId="182D9503" w14:textId="77777777" w:rsidR="00C65A4D" w:rsidRPr="00B6562C" w:rsidRDefault="00C65A4D" w:rsidP="00C65A4D">
      <w:pPr>
        <w:widowControl w:val="0"/>
        <w:autoSpaceDE w:val="0"/>
        <w:autoSpaceDN w:val="0"/>
        <w:adjustRightInd w:val="0"/>
        <w:spacing w:after="120"/>
        <w:jc w:val="both"/>
        <w:rPr>
          <w:rFonts w:ascii="Times New Roman" w:hAnsi="Times New Roman" w:cs="Times New Roman"/>
          <w:color w:val="000000"/>
          <w:lang w:val="es-ES"/>
        </w:rPr>
      </w:pPr>
      <w:r w:rsidRPr="00B6562C">
        <w:rPr>
          <w:rFonts w:ascii="Times New Roman" w:hAnsi="Times New Roman" w:cs="Times New Roman"/>
          <w:color w:val="000000"/>
          <w:lang w:val="es-ES"/>
        </w:rPr>
        <w:t xml:space="preserve">I.2- El PNUD forja alianzas con todos los niveles de la sociedad para ayudar a construir naciones que puedan resistir las crisis; promueve y sostiene un tipo de crecimiento que mejora la calidad de vida de todos. Presentes sobre el terreno en unos 170 países y territorios, ofrecemos una perspectiva global y un conocimiento local al servicio de las personas y las naciones. </w:t>
      </w:r>
    </w:p>
    <w:p w14:paraId="27BA4731" w14:textId="77777777" w:rsidR="00C65A4D" w:rsidRPr="00B6562C" w:rsidRDefault="00C65A4D" w:rsidP="00C65A4D">
      <w:pPr>
        <w:tabs>
          <w:tab w:val="left" w:pos="900"/>
        </w:tabs>
        <w:spacing w:after="120"/>
        <w:jc w:val="both"/>
        <w:rPr>
          <w:rFonts w:ascii="Times New Roman" w:hAnsi="Times New Roman" w:cs="Times New Roman"/>
          <w:color w:val="000000"/>
          <w:lang w:val="es-ES"/>
        </w:rPr>
      </w:pPr>
      <w:r w:rsidRPr="00B6562C">
        <w:rPr>
          <w:rFonts w:ascii="Times New Roman" w:hAnsi="Times New Roman" w:cs="Times New Roman"/>
          <w:color w:val="000000"/>
          <w:lang w:val="es-ES"/>
        </w:rPr>
        <w:t>I.3- En el marco de la Agenda 2030 y la implementación de su Programa País, la Unidad de Sostenibilidad Ambiental y Resiliencia trabaja desde los enfoques de Derechos Humanos y Ciclo de Vida en cuatro líneas de intervención: uso sostenible del capital natural; producción y consumo sostenibles; mitigación del cambio climático y adaptación a sus efectos; construcción de resiliencia ante desastres.</w:t>
      </w:r>
    </w:p>
    <w:p w14:paraId="3049F7FF" w14:textId="77777777" w:rsidR="00C65A4D" w:rsidRPr="00B6562C" w:rsidRDefault="00C65A4D" w:rsidP="00C65A4D">
      <w:pPr>
        <w:autoSpaceDE w:val="0"/>
        <w:autoSpaceDN w:val="0"/>
        <w:adjustRightInd w:val="0"/>
        <w:spacing w:after="120"/>
        <w:jc w:val="both"/>
        <w:rPr>
          <w:rFonts w:ascii="Times New Roman" w:hAnsi="Times New Roman" w:cs="Times New Roman"/>
          <w:color w:val="000000"/>
          <w:lang w:val="es-ES"/>
        </w:rPr>
      </w:pPr>
      <w:r w:rsidRPr="00B6562C">
        <w:rPr>
          <w:rFonts w:ascii="Times New Roman" w:hAnsi="Times New Roman" w:cs="Times New Roman"/>
          <w:color w:val="000000"/>
          <w:lang w:val="es-ES"/>
        </w:rPr>
        <w:t>I.4- En el marco del Plan Estratégico 2022-2025 se prioriza una gestión impecable, acorde con los procedimientos operacionales de programas y proyectos vigentes. En ese marco, se ha establecido una plataforma de monitoreo y gestión de conocimiento que tiene por objetivo generar un espacio para socializar y dar seguimiento al progreso de las diferentes iniciativas, identificar necesidades especiales de monitoreo, así como propiciar sinergias, intercambios de experiencias y oportunidades para fortalecer la gestión de los proyectos. Esta plataforma constituye también un medio a través del cual las contrapartes se mantienen actualizadas sobre la implementación del Plan de acción del Programa País y un espacio para el fortalecimiento de capacidades de temas comunes relacionados con la gestión de proyectos basada en resultados y las prioridades de cooperación de PNUD.</w:t>
      </w:r>
    </w:p>
    <w:p w14:paraId="3F4C3B54" w14:textId="77777777" w:rsidR="00CF0FE6" w:rsidRDefault="00CF0FE6" w:rsidP="00CF0FE6">
      <w:pPr>
        <w:autoSpaceDE w:val="0"/>
        <w:autoSpaceDN w:val="0"/>
        <w:adjustRightInd w:val="0"/>
        <w:spacing w:after="120"/>
        <w:jc w:val="both"/>
        <w:rPr>
          <w:rFonts w:ascii="Calibri" w:hAnsi="Calibri" w:cs="Calibri"/>
          <w:lang w:val="es-DO"/>
        </w:rPr>
      </w:pPr>
      <w:r w:rsidRPr="00B6562C">
        <w:rPr>
          <w:rFonts w:ascii="Times New Roman" w:hAnsi="Times New Roman" w:cs="Times New Roman"/>
          <w:color w:val="000000"/>
          <w:lang w:val="es-ES"/>
        </w:rPr>
        <w:t>I.</w:t>
      </w:r>
      <w:r>
        <w:rPr>
          <w:rFonts w:ascii="Times New Roman" w:hAnsi="Times New Roman" w:cs="Times New Roman"/>
          <w:color w:val="000000"/>
          <w:lang w:val="es-ES"/>
        </w:rPr>
        <w:t>5</w:t>
      </w:r>
      <w:r w:rsidRPr="00B6562C">
        <w:rPr>
          <w:rFonts w:ascii="Times New Roman" w:hAnsi="Times New Roman" w:cs="Times New Roman"/>
          <w:color w:val="000000"/>
          <w:lang w:val="es-ES"/>
        </w:rPr>
        <w:t xml:space="preserve">- </w:t>
      </w:r>
      <w:r w:rsidRPr="00AD5CDE">
        <w:rPr>
          <w:rFonts w:ascii="Times New Roman" w:hAnsi="Times New Roman" w:cs="Times New Roman"/>
          <w:color w:val="000000"/>
          <w:lang w:val="es-ES"/>
        </w:rPr>
        <w:t xml:space="preserve">En 2007, el Programa de las Naciones Unidas para el Desarrollo (PNUD) estableció a nivel global la “Alianza por el Cacao”, junto a </w:t>
      </w:r>
      <w:proofErr w:type="spellStart"/>
      <w:r w:rsidRPr="00AD5CDE">
        <w:rPr>
          <w:rFonts w:ascii="Times New Roman" w:hAnsi="Times New Roman" w:cs="Times New Roman"/>
          <w:color w:val="000000"/>
          <w:lang w:val="es-ES"/>
        </w:rPr>
        <w:t>Mondelēz</w:t>
      </w:r>
      <w:proofErr w:type="spellEnd"/>
      <w:r w:rsidRPr="00AD5CDE">
        <w:rPr>
          <w:rFonts w:ascii="Times New Roman" w:hAnsi="Times New Roman" w:cs="Times New Roman"/>
          <w:color w:val="000000"/>
          <w:lang w:val="es-ES"/>
        </w:rPr>
        <w:t xml:space="preserve"> International y otras organizaciones. Esta </w:t>
      </w:r>
      <w:r w:rsidRPr="00AD5CDE">
        <w:rPr>
          <w:rFonts w:ascii="Times New Roman" w:hAnsi="Times New Roman" w:cs="Times New Roman"/>
          <w:color w:val="000000"/>
          <w:lang w:val="es-ES"/>
        </w:rPr>
        <w:lastRenderedPageBreak/>
        <w:t>alianza constituye la expresión de una sociedad entre gobiernos, empresas del sector privado, organizaciones sin fines de lucro y el PNUD, y tiene el objetivo de asegurar la sostenibilidad económica, social y ambiental de productores de cacao y sus comunidades.</w:t>
      </w:r>
      <w:r w:rsidRPr="00A54253">
        <w:rPr>
          <w:rFonts w:ascii="Calibri" w:hAnsi="Calibri" w:cs="Calibri"/>
          <w:lang w:val="es-DO"/>
        </w:rPr>
        <w:t xml:space="preserve"> </w:t>
      </w:r>
    </w:p>
    <w:p w14:paraId="6A8CDC0E" w14:textId="77777777" w:rsidR="00CF0FE6" w:rsidRPr="00544EB2" w:rsidRDefault="00CF0FE6" w:rsidP="00CF0FE6">
      <w:pPr>
        <w:autoSpaceDE w:val="0"/>
        <w:autoSpaceDN w:val="0"/>
        <w:adjustRightInd w:val="0"/>
        <w:spacing w:after="120"/>
        <w:jc w:val="both"/>
        <w:rPr>
          <w:rFonts w:ascii="Times New Roman" w:hAnsi="Times New Roman" w:cs="Times New Roman"/>
          <w:color w:val="000000"/>
          <w:lang w:val="es-ES"/>
        </w:rPr>
      </w:pPr>
      <w:r>
        <w:rPr>
          <w:rFonts w:ascii="Times New Roman" w:hAnsi="Times New Roman" w:cs="Times New Roman"/>
          <w:color w:val="000000"/>
          <w:lang w:val="es-ES"/>
        </w:rPr>
        <w:t xml:space="preserve">I.6- </w:t>
      </w:r>
      <w:r w:rsidRPr="00544EB2">
        <w:rPr>
          <w:rFonts w:ascii="Times New Roman" w:hAnsi="Times New Roman" w:cs="Times New Roman"/>
          <w:color w:val="000000"/>
          <w:lang w:val="es-ES"/>
        </w:rPr>
        <w:t>Esta alianza se expandió a la República Dominicana y, a partir del 2017 se ha iniciado la implementación del Programa Cocoa Life</w:t>
      </w:r>
      <w:r w:rsidRPr="00544EB2">
        <w:rPr>
          <w:rFonts w:ascii="Times New Roman" w:hAnsi="Times New Roman" w:cs="Times New Roman"/>
          <w:color w:val="000000"/>
          <w:lang w:val="es-ES"/>
        </w:rPr>
        <w:footnoteReference w:id="1"/>
      </w:r>
      <w:r w:rsidRPr="00544EB2">
        <w:rPr>
          <w:rFonts w:ascii="Times New Roman" w:hAnsi="Times New Roman" w:cs="Times New Roman"/>
          <w:color w:val="000000"/>
          <w:lang w:val="es-ES"/>
        </w:rPr>
        <w:t xml:space="preserve">, el cual involucra la coordinación por parte del PNUD y dos proyectos con organizaciones suplidoras de cacao de </w:t>
      </w:r>
      <w:proofErr w:type="spellStart"/>
      <w:r w:rsidRPr="00544EB2">
        <w:rPr>
          <w:rFonts w:ascii="Times New Roman" w:hAnsi="Times New Roman" w:cs="Times New Roman"/>
          <w:color w:val="000000"/>
          <w:lang w:val="es-ES"/>
        </w:rPr>
        <w:t>Mondelēz</w:t>
      </w:r>
      <w:proofErr w:type="spellEnd"/>
      <w:r w:rsidRPr="00544EB2">
        <w:rPr>
          <w:rFonts w:ascii="Times New Roman" w:hAnsi="Times New Roman" w:cs="Times New Roman"/>
          <w:color w:val="000000"/>
          <w:lang w:val="es-ES"/>
        </w:rPr>
        <w:t xml:space="preserve"> (</w:t>
      </w:r>
      <w:proofErr w:type="spellStart"/>
      <w:r w:rsidRPr="00544EB2">
        <w:rPr>
          <w:rFonts w:ascii="Times New Roman" w:hAnsi="Times New Roman" w:cs="Times New Roman"/>
          <w:color w:val="000000"/>
          <w:lang w:val="es-ES"/>
        </w:rPr>
        <w:t>Fuparoca</w:t>
      </w:r>
      <w:proofErr w:type="spellEnd"/>
      <w:r w:rsidRPr="00544EB2">
        <w:rPr>
          <w:rFonts w:ascii="Times New Roman" w:hAnsi="Times New Roman" w:cs="Times New Roman"/>
          <w:color w:val="000000"/>
          <w:lang w:val="es-ES"/>
        </w:rPr>
        <w:t xml:space="preserve">, </w:t>
      </w:r>
      <w:proofErr w:type="spellStart"/>
      <w:r w:rsidRPr="00544EB2">
        <w:rPr>
          <w:rFonts w:ascii="Times New Roman" w:hAnsi="Times New Roman" w:cs="Times New Roman"/>
          <w:color w:val="000000"/>
          <w:lang w:val="es-ES"/>
        </w:rPr>
        <w:t>Conacado</w:t>
      </w:r>
      <w:proofErr w:type="spellEnd"/>
      <w:r w:rsidRPr="00544EB2">
        <w:rPr>
          <w:rFonts w:ascii="Times New Roman" w:hAnsi="Times New Roman" w:cs="Times New Roman"/>
          <w:color w:val="000000"/>
          <w:lang w:val="es-ES"/>
        </w:rPr>
        <w:t xml:space="preserve">). El Programa Cocoa Life (CLP) es una iniciativa holística establecida para transformar las vidas y medios de vida de los productores de cacao y sus comunidades vinculados a su cadena de comercialización. Este Programa se implementa en todos los países donde </w:t>
      </w:r>
      <w:proofErr w:type="spellStart"/>
      <w:r w:rsidRPr="00544EB2">
        <w:rPr>
          <w:rFonts w:ascii="Times New Roman" w:hAnsi="Times New Roman" w:cs="Times New Roman"/>
          <w:color w:val="000000"/>
          <w:lang w:val="es-ES"/>
        </w:rPr>
        <w:t>Mondelēz</w:t>
      </w:r>
      <w:proofErr w:type="spellEnd"/>
      <w:r w:rsidRPr="00544EB2">
        <w:rPr>
          <w:rFonts w:ascii="Times New Roman" w:hAnsi="Times New Roman" w:cs="Times New Roman"/>
          <w:color w:val="000000"/>
          <w:lang w:val="es-ES"/>
        </w:rPr>
        <w:t xml:space="preserve"> compra cacao y está sustentado en los siguientes principios:</w:t>
      </w:r>
    </w:p>
    <w:p w14:paraId="38E2FD6C" w14:textId="77777777" w:rsidR="00CF0FE6" w:rsidRPr="006A2F29" w:rsidRDefault="00CF0FE6" w:rsidP="00CF0FE6">
      <w:pPr>
        <w:numPr>
          <w:ilvl w:val="0"/>
          <w:numId w:val="28"/>
        </w:numPr>
        <w:spacing w:after="120"/>
        <w:ind w:left="426" w:hanging="284"/>
        <w:jc w:val="both"/>
        <w:rPr>
          <w:rFonts w:ascii="Times New Roman" w:hAnsi="Times New Roman" w:cs="Times New Roman"/>
          <w:lang w:val="es-DO"/>
        </w:rPr>
      </w:pPr>
      <w:r w:rsidRPr="006A2F29">
        <w:rPr>
          <w:rFonts w:ascii="Times New Roman" w:hAnsi="Times New Roman" w:cs="Times New Roman"/>
          <w:lang w:val="es-DO"/>
        </w:rPr>
        <w:t>Está centrado en los productores, sus medios de vida y sus comunidades</w:t>
      </w:r>
    </w:p>
    <w:p w14:paraId="7720E721" w14:textId="77777777" w:rsidR="00CF0FE6" w:rsidRPr="006A2F29" w:rsidRDefault="00CF0FE6" w:rsidP="00CF0FE6">
      <w:pPr>
        <w:numPr>
          <w:ilvl w:val="0"/>
          <w:numId w:val="28"/>
        </w:numPr>
        <w:spacing w:after="120"/>
        <w:ind w:left="426" w:hanging="284"/>
        <w:jc w:val="both"/>
        <w:rPr>
          <w:rFonts w:ascii="Times New Roman" w:hAnsi="Times New Roman" w:cs="Times New Roman"/>
          <w:lang w:val="es-DO"/>
        </w:rPr>
      </w:pPr>
      <w:r w:rsidRPr="006A2F29">
        <w:rPr>
          <w:rFonts w:ascii="Times New Roman" w:hAnsi="Times New Roman" w:cs="Times New Roman"/>
          <w:lang w:val="es-DO"/>
        </w:rPr>
        <w:t>Está comprometido con las alianzas</w:t>
      </w:r>
    </w:p>
    <w:p w14:paraId="444FE775" w14:textId="77777777" w:rsidR="00CF0FE6" w:rsidRPr="006A2F29" w:rsidRDefault="00CF0FE6" w:rsidP="00CF0FE6">
      <w:pPr>
        <w:numPr>
          <w:ilvl w:val="0"/>
          <w:numId w:val="28"/>
        </w:numPr>
        <w:spacing w:after="120"/>
        <w:ind w:left="426" w:hanging="284"/>
        <w:jc w:val="both"/>
        <w:rPr>
          <w:rFonts w:ascii="Times New Roman" w:hAnsi="Times New Roman" w:cs="Times New Roman"/>
          <w:lang w:val="es-DO"/>
        </w:rPr>
      </w:pPr>
      <w:r w:rsidRPr="006A2F29">
        <w:rPr>
          <w:rFonts w:ascii="Times New Roman" w:hAnsi="Times New Roman" w:cs="Times New Roman"/>
          <w:lang w:val="es-DO"/>
        </w:rPr>
        <w:t>Mantiene los principios que lo sustentan a lo largo de la cadena de valor, trabajando para que todos los actores involucrados estén comprometidos con principios éticos y de transparencia.</w:t>
      </w:r>
    </w:p>
    <w:p w14:paraId="486F40C1" w14:textId="77777777" w:rsidR="00CF0FE6" w:rsidRPr="006A2F29" w:rsidRDefault="00CF0FE6" w:rsidP="00CF0FE6">
      <w:pPr>
        <w:numPr>
          <w:ilvl w:val="0"/>
          <w:numId w:val="28"/>
        </w:numPr>
        <w:spacing w:after="120"/>
        <w:ind w:left="426" w:hanging="284"/>
        <w:jc w:val="both"/>
        <w:rPr>
          <w:rFonts w:ascii="Times New Roman" w:hAnsi="Times New Roman" w:cs="Times New Roman"/>
          <w:lang w:val="es-DO"/>
        </w:rPr>
      </w:pPr>
      <w:r w:rsidRPr="006A2F29">
        <w:rPr>
          <w:rFonts w:ascii="Times New Roman" w:hAnsi="Times New Roman" w:cs="Times New Roman"/>
          <w:lang w:val="es-DO"/>
        </w:rPr>
        <w:t>Promueve la rendición de cuentas, desarrollando acciones sujetas a verificación independiente</w:t>
      </w:r>
    </w:p>
    <w:p w14:paraId="6F14105D" w14:textId="77777777" w:rsidR="00CF0FE6" w:rsidRPr="006A2F29" w:rsidRDefault="00CF0FE6" w:rsidP="00CF0FE6">
      <w:pPr>
        <w:numPr>
          <w:ilvl w:val="0"/>
          <w:numId w:val="28"/>
        </w:numPr>
        <w:spacing w:after="120"/>
        <w:ind w:left="426" w:hanging="284"/>
        <w:jc w:val="both"/>
        <w:rPr>
          <w:rFonts w:ascii="Times New Roman" w:hAnsi="Times New Roman" w:cs="Times New Roman"/>
          <w:lang w:val="es-DO"/>
        </w:rPr>
      </w:pPr>
      <w:r w:rsidRPr="006A2F29">
        <w:rPr>
          <w:rFonts w:ascii="Times New Roman" w:hAnsi="Times New Roman" w:cs="Times New Roman"/>
          <w:lang w:val="es-DO"/>
        </w:rPr>
        <w:t>Rechaza el trabajo infantil.</w:t>
      </w:r>
    </w:p>
    <w:p w14:paraId="6FC4C155" w14:textId="77777777" w:rsidR="00CF0FE6" w:rsidRPr="006A2F29" w:rsidRDefault="00CF0FE6" w:rsidP="00CF0FE6">
      <w:pPr>
        <w:numPr>
          <w:ilvl w:val="0"/>
          <w:numId w:val="28"/>
        </w:numPr>
        <w:spacing w:after="120"/>
        <w:ind w:left="426" w:hanging="284"/>
        <w:jc w:val="both"/>
        <w:rPr>
          <w:rFonts w:ascii="Times New Roman" w:hAnsi="Times New Roman" w:cs="Times New Roman"/>
          <w:lang w:val="es-DO"/>
        </w:rPr>
      </w:pPr>
      <w:r w:rsidRPr="006A2F29">
        <w:rPr>
          <w:rFonts w:ascii="Times New Roman" w:hAnsi="Times New Roman" w:cs="Times New Roman"/>
          <w:lang w:val="es-DO"/>
        </w:rPr>
        <w:t>Promueve la equidad de género, propiciando el involucramiento positivo de las mujeres en la cadena de valor y abogando para desarrollar acciones colaborativas que contribuyan a mejorar los derechos de las mujeres en este sector.</w:t>
      </w:r>
    </w:p>
    <w:p w14:paraId="6A39DC54" w14:textId="77777777" w:rsidR="00CF0FE6" w:rsidRPr="006A2F29" w:rsidRDefault="00CF0FE6" w:rsidP="00CF0FE6">
      <w:pPr>
        <w:numPr>
          <w:ilvl w:val="0"/>
          <w:numId w:val="28"/>
        </w:numPr>
        <w:spacing w:after="120"/>
        <w:ind w:left="426" w:hanging="284"/>
        <w:jc w:val="both"/>
        <w:rPr>
          <w:rFonts w:ascii="Times New Roman" w:hAnsi="Times New Roman" w:cs="Times New Roman"/>
          <w:lang w:val="es-DO"/>
        </w:rPr>
      </w:pPr>
      <w:r w:rsidRPr="006A2F29">
        <w:rPr>
          <w:rFonts w:ascii="Times New Roman" w:hAnsi="Times New Roman" w:cs="Times New Roman"/>
          <w:lang w:val="es-DO"/>
        </w:rPr>
        <w:t>Promueve mejoras en la gestión financiera de los productores, mejores oportunidades de educación para los jóvenes y el desarrollo de comunidades sostenibles y prósperas.</w:t>
      </w:r>
    </w:p>
    <w:p w14:paraId="48C6657F" w14:textId="77777777" w:rsidR="00CF0FE6" w:rsidRPr="00316D7F" w:rsidRDefault="00CF0FE6" w:rsidP="00CF0FE6">
      <w:pPr>
        <w:autoSpaceDE w:val="0"/>
        <w:autoSpaceDN w:val="0"/>
        <w:adjustRightInd w:val="0"/>
        <w:spacing w:after="120"/>
        <w:jc w:val="both"/>
        <w:rPr>
          <w:rFonts w:ascii="Times New Roman" w:hAnsi="Times New Roman" w:cs="Times New Roman"/>
          <w:color w:val="000000"/>
          <w:lang w:val="es-ES"/>
        </w:rPr>
      </w:pPr>
      <w:r w:rsidRPr="00B6562C">
        <w:rPr>
          <w:rFonts w:ascii="Times New Roman" w:hAnsi="Times New Roman" w:cs="Times New Roman"/>
          <w:color w:val="000000"/>
          <w:lang w:val="es-ES"/>
        </w:rPr>
        <w:t>I.</w:t>
      </w:r>
      <w:r>
        <w:rPr>
          <w:rFonts w:ascii="Times New Roman" w:hAnsi="Times New Roman" w:cs="Times New Roman"/>
          <w:color w:val="000000"/>
          <w:lang w:val="es-ES"/>
        </w:rPr>
        <w:t>7</w:t>
      </w:r>
      <w:r w:rsidRPr="00B6562C">
        <w:rPr>
          <w:rFonts w:ascii="Times New Roman" w:hAnsi="Times New Roman" w:cs="Times New Roman"/>
          <w:color w:val="000000"/>
          <w:lang w:val="es-ES"/>
        </w:rPr>
        <w:t>- Se requiere la contratación de un/a</w:t>
      </w:r>
      <w:r w:rsidRPr="00B6562C">
        <w:rPr>
          <w:rFonts w:ascii="Times New Roman" w:hAnsi="Times New Roman" w:cs="Times New Roman"/>
          <w:w w:val="105"/>
        </w:rPr>
        <w:t xml:space="preserve"> contratista individual para los servicios detallados en estos términos de referencia, con el propósito de </w:t>
      </w:r>
      <w:r w:rsidRPr="00316D7F">
        <w:rPr>
          <w:rFonts w:ascii="Times New Roman" w:hAnsi="Times New Roman" w:cs="Times New Roman"/>
          <w:color w:val="000000"/>
          <w:lang w:val="es-ES"/>
        </w:rPr>
        <w:t>apoyar sistematización de  los resultados del plan de recuperación y las buenas prácticas, lecciones aprendidas y conocimiento adquirido por los productores en las Escuelas de Campo del Programa Cocoa Life de la unidad de sostenibilidad ambiental y resiliencia y contribuir a sistematizar los documentos y archivos relevantes de las diferentes iniciativas asociadas.</w:t>
      </w:r>
    </w:p>
    <w:p w14:paraId="32CF10A2" w14:textId="745161FA" w:rsidR="00580ADE" w:rsidRPr="00CF0FE6" w:rsidRDefault="00580ADE" w:rsidP="00580ADE">
      <w:pPr>
        <w:pStyle w:val="BodyText"/>
        <w:jc w:val="both"/>
        <w:rPr>
          <w:spacing w:val="-3"/>
          <w:w w:val="105"/>
          <w:lang w:val="es-ES"/>
        </w:rPr>
      </w:pPr>
    </w:p>
    <w:p w14:paraId="4CBDD7BD" w14:textId="77777777" w:rsidR="00580ADE" w:rsidRPr="00B6562C" w:rsidRDefault="00580ADE" w:rsidP="00A77362">
      <w:pPr>
        <w:spacing w:after="120"/>
        <w:jc w:val="both"/>
        <w:rPr>
          <w:rFonts w:ascii="Times New Roman" w:hAnsi="Times New Roman" w:cs="Times New Roman"/>
          <w:b/>
        </w:rPr>
      </w:pPr>
      <w:r w:rsidRPr="00B6562C">
        <w:rPr>
          <w:rFonts w:ascii="Times New Roman" w:hAnsi="Times New Roman" w:cs="Times New Roman"/>
          <w:b/>
        </w:rPr>
        <w:t>II.</w:t>
      </w:r>
      <w:r w:rsidRPr="00B6562C">
        <w:rPr>
          <w:rFonts w:ascii="Times New Roman" w:hAnsi="Times New Roman" w:cs="Times New Roman"/>
          <w:b/>
        </w:rPr>
        <w:tab/>
        <w:t xml:space="preserve"> Alcance de los trabajos</w:t>
      </w:r>
    </w:p>
    <w:p w14:paraId="00AAB621" w14:textId="16885ABD" w:rsidR="00635C36" w:rsidRDefault="00635C36" w:rsidP="00635C36">
      <w:pPr>
        <w:numPr>
          <w:ilvl w:val="0"/>
          <w:numId w:val="25"/>
        </w:numPr>
        <w:spacing w:after="120"/>
        <w:jc w:val="both"/>
        <w:rPr>
          <w:rFonts w:ascii="Times New Roman" w:hAnsi="Times New Roman" w:cs="Times New Roman"/>
          <w:spacing w:val="-3"/>
          <w:w w:val="105"/>
        </w:rPr>
      </w:pPr>
      <w:r w:rsidRPr="00EB1A93">
        <w:rPr>
          <w:rFonts w:ascii="Times New Roman" w:hAnsi="Times New Roman" w:cs="Times New Roman"/>
          <w:spacing w:val="-3"/>
          <w:w w:val="105"/>
        </w:rPr>
        <w:t xml:space="preserve">Sistematizar </w:t>
      </w:r>
      <w:r w:rsidR="0087490A">
        <w:rPr>
          <w:rFonts w:ascii="Times New Roman" w:hAnsi="Times New Roman" w:cs="Times New Roman"/>
          <w:spacing w:val="-3"/>
          <w:w w:val="105"/>
        </w:rPr>
        <w:t xml:space="preserve">el proceso de </w:t>
      </w:r>
      <w:r w:rsidR="00ED4D79">
        <w:rPr>
          <w:rFonts w:ascii="Times New Roman" w:hAnsi="Times New Roman" w:cs="Times New Roman"/>
          <w:spacing w:val="-3"/>
          <w:w w:val="105"/>
        </w:rPr>
        <w:t xml:space="preserve">realización </w:t>
      </w:r>
      <w:r w:rsidR="0014637C">
        <w:rPr>
          <w:rFonts w:ascii="Times New Roman" w:hAnsi="Times New Roman" w:cs="Times New Roman"/>
          <w:spacing w:val="-3"/>
          <w:w w:val="105"/>
        </w:rPr>
        <w:t>de las</w:t>
      </w:r>
      <w:r w:rsidR="00253A42">
        <w:rPr>
          <w:rFonts w:ascii="Times New Roman" w:hAnsi="Times New Roman" w:cs="Times New Roman"/>
          <w:spacing w:val="-3"/>
          <w:w w:val="105"/>
        </w:rPr>
        <w:t xml:space="preserve"> evaluaciones de necesidades y de los </w:t>
      </w:r>
      <w:r w:rsidR="00910778">
        <w:rPr>
          <w:rFonts w:ascii="Times New Roman" w:hAnsi="Times New Roman" w:cs="Times New Roman"/>
          <w:spacing w:val="-3"/>
          <w:w w:val="105"/>
        </w:rPr>
        <w:t>Planes de Acción Comunitarios (CAP)</w:t>
      </w:r>
    </w:p>
    <w:p w14:paraId="5F61F7C5" w14:textId="4B97BF4F" w:rsidR="00082939" w:rsidRDefault="0014637C" w:rsidP="00082939">
      <w:pPr>
        <w:numPr>
          <w:ilvl w:val="0"/>
          <w:numId w:val="25"/>
        </w:numPr>
        <w:spacing w:after="120"/>
        <w:jc w:val="both"/>
        <w:rPr>
          <w:rFonts w:ascii="Times New Roman" w:hAnsi="Times New Roman" w:cs="Times New Roman"/>
          <w:spacing w:val="-3"/>
          <w:w w:val="105"/>
        </w:rPr>
      </w:pPr>
      <w:r>
        <w:rPr>
          <w:rFonts w:ascii="Times New Roman" w:hAnsi="Times New Roman" w:cs="Times New Roman"/>
          <w:spacing w:val="-3"/>
          <w:w w:val="105"/>
        </w:rPr>
        <w:t xml:space="preserve">Realizar el proceso de validación de los </w:t>
      </w:r>
      <w:r w:rsidR="00082939" w:rsidRPr="00082939">
        <w:rPr>
          <w:rFonts w:ascii="Times New Roman" w:hAnsi="Times New Roman" w:cs="Times New Roman"/>
          <w:spacing w:val="-3"/>
          <w:w w:val="105"/>
        </w:rPr>
        <w:t>informes de evaluación de necesidades y</w:t>
      </w:r>
      <w:r w:rsidR="00082939">
        <w:rPr>
          <w:rFonts w:ascii="Times New Roman" w:hAnsi="Times New Roman" w:cs="Times New Roman"/>
          <w:spacing w:val="-3"/>
          <w:w w:val="105"/>
        </w:rPr>
        <w:t xml:space="preserve"> de los Planes de Acción Comunitarios (CAP)</w:t>
      </w:r>
    </w:p>
    <w:p w14:paraId="65719F6E" w14:textId="5DA6704F" w:rsidR="00D66633" w:rsidRDefault="00D66633" w:rsidP="00F62610">
      <w:pPr>
        <w:numPr>
          <w:ilvl w:val="0"/>
          <w:numId w:val="25"/>
        </w:numPr>
        <w:spacing w:after="120"/>
        <w:jc w:val="both"/>
        <w:rPr>
          <w:rFonts w:ascii="Times New Roman" w:hAnsi="Times New Roman" w:cs="Times New Roman"/>
          <w:spacing w:val="-3"/>
          <w:w w:val="105"/>
        </w:rPr>
      </w:pPr>
      <w:r w:rsidRPr="00D66633">
        <w:rPr>
          <w:rFonts w:ascii="Times New Roman" w:hAnsi="Times New Roman" w:cs="Times New Roman"/>
          <w:spacing w:val="-3"/>
          <w:w w:val="105"/>
        </w:rPr>
        <w:t xml:space="preserve">Realizar una evaluación rápida del estado de los </w:t>
      </w:r>
      <w:r w:rsidR="00C52862">
        <w:rPr>
          <w:rFonts w:ascii="Times New Roman" w:hAnsi="Times New Roman" w:cs="Times New Roman"/>
          <w:spacing w:val="-3"/>
          <w:w w:val="105"/>
        </w:rPr>
        <w:t xml:space="preserve">Planes de Acción </w:t>
      </w:r>
      <w:r w:rsidR="0052055D">
        <w:rPr>
          <w:rFonts w:ascii="Times New Roman" w:hAnsi="Times New Roman" w:cs="Times New Roman"/>
          <w:spacing w:val="-3"/>
          <w:w w:val="105"/>
        </w:rPr>
        <w:t>Comunitarios (</w:t>
      </w:r>
      <w:r w:rsidRPr="00D66633">
        <w:rPr>
          <w:rFonts w:ascii="Times New Roman" w:hAnsi="Times New Roman" w:cs="Times New Roman"/>
          <w:spacing w:val="-3"/>
          <w:w w:val="105"/>
        </w:rPr>
        <w:t>CAP</w:t>
      </w:r>
      <w:r w:rsidR="00C52862">
        <w:rPr>
          <w:rFonts w:ascii="Times New Roman" w:hAnsi="Times New Roman" w:cs="Times New Roman"/>
          <w:spacing w:val="-3"/>
          <w:w w:val="105"/>
        </w:rPr>
        <w:t>)</w:t>
      </w:r>
      <w:r w:rsidRPr="00D66633">
        <w:rPr>
          <w:rFonts w:ascii="Times New Roman" w:hAnsi="Times New Roman" w:cs="Times New Roman"/>
          <w:spacing w:val="-3"/>
          <w:w w:val="105"/>
        </w:rPr>
        <w:t xml:space="preserve"> y </w:t>
      </w:r>
      <w:r w:rsidR="00C52862">
        <w:rPr>
          <w:rFonts w:ascii="Times New Roman" w:hAnsi="Times New Roman" w:cs="Times New Roman"/>
          <w:spacing w:val="-3"/>
          <w:w w:val="105"/>
        </w:rPr>
        <w:t xml:space="preserve">de los </w:t>
      </w:r>
      <w:r w:rsidR="0052055D">
        <w:rPr>
          <w:rFonts w:ascii="Times New Roman" w:hAnsi="Times New Roman" w:cs="Times New Roman"/>
          <w:spacing w:val="-3"/>
          <w:w w:val="105"/>
        </w:rPr>
        <w:t>C</w:t>
      </w:r>
      <w:r w:rsidR="00C52862">
        <w:rPr>
          <w:rFonts w:ascii="Times New Roman" w:hAnsi="Times New Roman" w:cs="Times New Roman"/>
          <w:spacing w:val="-3"/>
          <w:w w:val="105"/>
        </w:rPr>
        <w:t>omités de Desarrollo Local (</w:t>
      </w:r>
      <w:r w:rsidRPr="00D66633">
        <w:rPr>
          <w:rFonts w:ascii="Times New Roman" w:hAnsi="Times New Roman" w:cs="Times New Roman"/>
          <w:spacing w:val="-3"/>
          <w:w w:val="105"/>
        </w:rPr>
        <w:t>CODEC</w:t>
      </w:r>
      <w:r w:rsidR="00C52862">
        <w:rPr>
          <w:rFonts w:ascii="Times New Roman" w:hAnsi="Times New Roman" w:cs="Times New Roman"/>
          <w:spacing w:val="-3"/>
          <w:w w:val="105"/>
        </w:rPr>
        <w:t>)</w:t>
      </w:r>
      <w:r w:rsidRPr="00D66633">
        <w:rPr>
          <w:rFonts w:ascii="Times New Roman" w:hAnsi="Times New Roman" w:cs="Times New Roman"/>
          <w:spacing w:val="-3"/>
          <w:w w:val="105"/>
        </w:rPr>
        <w:t xml:space="preserve"> establecidos desde el inicio del CLP en </w:t>
      </w:r>
      <w:r w:rsidR="00C52862">
        <w:rPr>
          <w:rFonts w:ascii="Times New Roman" w:hAnsi="Times New Roman" w:cs="Times New Roman"/>
          <w:spacing w:val="-3"/>
          <w:w w:val="105"/>
        </w:rPr>
        <w:t>la República Dominicana</w:t>
      </w:r>
      <w:r w:rsidRPr="00D66633">
        <w:rPr>
          <w:rFonts w:ascii="Times New Roman" w:hAnsi="Times New Roman" w:cs="Times New Roman"/>
          <w:spacing w:val="-3"/>
          <w:w w:val="105"/>
        </w:rPr>
        <w:t>, para identificar impactos y acciones críticas para su sostenibilidad</w:t>
      </w:r>
    </w:p>
    <w:p w14:paraId="0CFA5675" w14:textId="0B2A98D5" w:rsidR="00375FF0" w:rsidRDefault="00375FF0" w:rsidP="00F62610">
      <w:pPr>
        <w:numPr>
          <w:ilvl w:val="0"/>
          <w:numId w:val="25"/>
        </w:numPr>
        <w:spacing w:after="120"/>
        <w:jc w:val="both"/>
        <w:rPr>
          <w:rFonts w:ascii="Times New Roman" w:hAnsi="Times New Roman" w:cs="Times New Roman"/>
          <w:spacing w:val="-3"/>
          <w:w w:val="105"/>
        </w:rPr>
      </w:pPr>
      <w:r>
        <w:rPr>
          <w:rFonts w:ascii="Times New Roman" w:hAnsi="Times New Roman" w:cs="Times New Roman"/>
          <w:spacing w:val="-3"/>
          <w:w w:val="105"/>
        </w:rPr>
        <w:lastRenderedPageBreak/>
        <w:t xml:space="preserve">Realizar una estrategia </w:t>
      </w:r>
      <w:r w:rsidR="00F67ED1">
        <w:rPr>
          <w:rFonts w:ascii="Times New Roman" w:hAnsi="Times New Roman" w:cs="Times New Roman"/>
          <w:spacing w:val="-3"/>
          <w:w w:val="105"/>
        </w:rPr>
        <w:t>para establecer un p</w:t>
      </w:r>
      <w:r w:rsidR="00F67ED1" w:rsidRPr="00F67ED1">
        <w:rPr>
          <w:rFonts w:ascii="Times New Roman" w:hAnsi="Times New Roman" w:cs="Times New Roman"/>
          <w:spacing w:val="-3"/>
          <w:w w:val="105"/>
        </w:rPr>
        <w:t>rograma de formación de formadores para el fortalecimiento de capacidades de las comunidades de CL</w:t>
      </w:r>
      <w:r w:rsidR="0052055D">
        <w:rPr>
          <w:rFonts w:ascii="Times New Roman" w:hAnsi="Times New Roman" w:cs="Times New Roman"/>
          <w:spacing w:val="-3"/>
          <w:w w:val="105"/>
        </w:rPr>
        <w:t>P en el marco de los</w:t>
      </w:r>
      <w:r w:rsidR="00F67ED1" w:rsidRPr="00F67ED1">
        <w:rPr>
          <w:rFonts w:ascii="Times New Roman" w:hAnsi="Times New Roman" w:cs="Times New Roman"/>
          <w:spacing w:val="-3"/>
          <w:w w:val="105"/>
        </w:rPr>
        <w:t xml:space="preserve"> </w:t>
      </w:r>
      <w:r w:rsidR="0052055D">
        <w:rPr>
          <w:rFonts w:ascii="Times New Roman" w:hAnsi="Times New Roman" w:cs="Times New Roman"/>
          <w:spacing w:val="-3"/>
          <w:w w:val="105"/>
        </w:rPr>
        <w:t>Comités de Desarrollo Local (</w:t>
      </w:r>
      <w:r w:rsidR="0052055D" w:rsidRPr="00D66633">
        <w:rPr>
          <w:rFonts w:ascii="Times New Roman" w:hAnsi="Times New Roman" w:cs="Times New Roman"/>
          <w:spacing w:val="-3"/>
          <w:w w:val="105"/>
        </w:rPr>
        <w:t>CODEC</w:t>
      </w:r>
      <w:r w:rsidR="0052055D">
        <w:rPr>
          <w:rFonts w:ascii="Times New Roman" w:hAnsi="Times New Roman" w:cs="Times New Roman"/>
          <w:spacing w:val="-3"/>
          <w:w w:val="105"/>
        </w:rPr>
        <w:t>)</w:t>
      </w:r>
    </w:p>
    <w:p w14:paraId="0C54F958" w14:textId="77777777" w:rsidR="0010674E" w:rsidRPr="00F62610" w:rsidRDefault="0010674E" w:rsidP="0027617A">
      <w:pPr>
        <w:spacing w:after="120"/>
        <w:ind w:left="720"/>
        <w:jc w:val="both"/>
        <w:rPr>
          <w:rFonts w:ascii="Times New Roman" w:hAnsi="Times New Roman" w:cs="Times New Roman"/>
          <w:spacing w:val="-3"/>
          <w:w w:val="105"/>
        </w:rPr>
      </w:pPr>
    </w:p>
    <w:p w14:paraId="0C314395" w14:textId="77777777" w:rsidR="006505F9" w:rsidRPr="00B6562C" w:rsidRDefault="006505F9" w:rsidP="00BB21FC">
      <w:pPr>
        <w:pStyle w:val="NoSpacing"/>
        <w:spacing w:after="120"/>
        <w:jc w:val="both"/>
        <w:rPr>
          <w:rFonts w:ascii="Times New Roman" w:eastAsia="Times New Roman" w:hAnsi="Times New Roman"/>
          <w:b/>
          <w:spacing w:val="-3"/>
          <w:w w:val="105"/>
          <w:sz w:val="24"/>
          <w:szCs w:val="24"/>
        </w:rPr>
      </w:pPr>
    </w:p>
    <w:p w14:paraId="2406F361" w14:textId="482D5934" w:rsidR="00F34762" w:rsidRPr="00B6562C" w:rsidRDefault="00F34762" w:rsidP="00F34762">
      <w:pPr>
        <w:spacing w:after="120"/>
        <w:jc w:val="both"/>
        <w:rPr>
          <w:rFonts w:ascii="Times New Roman" w:hAnsi="Times New Roman" w:cs="Times New Roman"/>
          <w:b/>
        </w:rPr>
      </w:pPr>
      <w:r w:rsidRPr="00B6562C">
        <w:rPr>
          <w:rFonts w:ascii="Times New Roman" w:hAnsi="Times New Roman" w:cs="Times New Roman"/>
          <w:b/>
        </w:rPr>
        <w:t>III.</w:t>
      </w:r>
      <w:r w:rsidRPr="00B6562C">
        <w:rPr>
          <w:rFonts w:ascii="Times New Roman" w:hAnsi="Times New Roman" w:cs="Times New Roman"/>
          <w:b/>
        </w:rPr>
        <w:tab/>
        <w:t xml:space="preserve"> Actividades</w:t>
      </w:r>
    </w:p>
    <w:p w14:paraId="2200875C" w14:textId="1CFAB6C0" w:rsidR="00BB21FC" w:rsidRDefault="00F34762" w:rsidP="00BB21FC">
      <w:pPr>
        <w:pStyle w:val="NoSpacing"/>
        <w:spacing w:after="120"/>
        <w:jc w:val="both"/>
        <w:rPr>
          <w:rFonts w:ascii="Times New Roman" w:eastAsia="Times New Roman" w:hAnsi="Times New Roman"/>
          <w:bCs/>
          <w:spacing w:val="-3"/>
          <w:w w:val="105"/>
          <w:sz w:val="24"/>
          <w:szCs w:val="24"/>
          <w:lang w:val="es-ES_tradnl"/>
        </w:rPr>
      </w:pPr>
      <w:r w:rsidRPr="00B6562C">
        <w:rPr>
          <w:rFonts w:ascii="Times New Roman" w:eastAsia="Times New Roman" w:hAnsi="Times New Roman"/>
          <w:bCs/>
          <w:spacing w:val="-3"/>
          <w:w w:val="105"/>
          <w:sz w:val="24"/>
          <w:szCs w:val="24"/>
          <w:lang w:val="es-ES_tradnl"/>
        </w:rPr>
        <w:t>I</w:t>
      </w:r>
      <w:r w:rsidR="00BB21FC" w:rsidRPr="00B6562C">
        <w:rPr>
          <w:rFonts w:ascii="Times New Roman" w:eastAsia="Times New Roman" w:hAnsi="Times New Roman"/>
          <w:bCs/>
          <w:spacing w:val="-3"/>
          <w:w w:val="105"/>
          <w:sz w:val="24"/>
          <w:szCs w:val="24"/>
          <w:lang w:val="es-ES_tradnl"/>
        </w:rPr>
        <w:t>II-</w:t>
      </w:r>
      <w:r w:rsidRPr="00B6562C">
        <w:rPr>
          <w:rFonts w:ascii="Times New Roman" w:eastAsia="Times New Roman" w:hAnsi="Times New Roman"/>
          <w:bCs/>
          <w:spacing w:val="-3"/>
          <w:w w:val="105"/>
          <w:sz w:val="24"/>
          <w:szCs w:val="24"/>
          <w:lang w:val="es-ES_tradnl"/>
        </w:rPr>
        <w:t>1</w:t>
      </w:r>
      <w:r w:rsidR="00BB21FC" w:rsidRPr="00B6562C">
        <w:rPr>
          <w:rFonts w:ascii="Times New Roman" w:eastAsia="Times New Roman" w:hAnsi="Times New Roman"/>
          <w:bCs/>
          <w:spacing w:val="-3"/>
          <w:w w:val="105"/>
          <w:sz w:val="24"/>
          <w:szCs w:val="24"/>
          <w:lang w:val="es-ES_tradnl"/>
        </w:rPr>
        <w:t xml:space="preserve">. Se requiere que el/la consultor/a realice las siguientes </w:t>
      </w:r>
      <w:r w:rsidR="000A55BC" w:rsidRPr="00B6562C">
        <w:rPr>
          <w:rFonts w:ascii="Times New Roman" w:eastAsia="Times New Roman" w:hAnsi="Times New Roman"/>
          <w:bCs/>
          <w:spacing w:val="-3"/>
          <w:w w:val="105"/>
          <w:sz w:val="24"/>
          <w:szCs w:val="24"/>
          <w:lang w:val="es-ES_tradnl"/>
        </w:rPr>
        <w:t>actividades</w:t>
      </w:r>
      <w:r w:rsidR="00BB21FC" w:rsidRPr="00B6562C">
        <w:rPr>
          <w:rFonts w:ascii="Times New Roman" w:eastAsia="Times New Roman" w:hAnsi="Times New Roman"/>
          <w:bCs/>
          <w:spacing w:val="-3"/>
          <w:w w:val="105"/>
          <w:sz w:val="24"/>
          <w:szCs w:val="24"/>
          <w:lang w:val="es-ES_tradnl"/>
        </w:rPr>
        <w:t>:</w:t>
      </w:r>
    </w:p>
    <w:p w14:paraId="664BB0CF" w14:textId="77777777" w:rsidR="00EB698A" w:rsidRPr="0054419E" w:rsidRDefault="00EB698A" w:rsidP="00BB21FC">
      <w:pPr>
        <w:pStyle w:val="NoSpacing"/>
        <w:spacing w:after="120"/>
        <w:jc w:val="both"/>
        <w:rPr>
          <w:rFonts w:ascii="Times New Roman" w:eastAsia="Times New Roman" w:hAnsi="Times New Roman"/>
          <w:bCs/>
          <w:spacing w:val="-3"/>
          <w:w w:val="105"/>
          <w:sz w:val="24"/>
          <w:szCs w:val="24"/>
          <w:lang w:val="es-ES_tradnl"/>
        </w:rPr>
      </w:pPr>
    </w:p>
    <w:p w14:paraId="052EAE16" w14:textId="77777777" w:rsidR="00B13A17" w:rsidRPr="00B13A17" w:rsidRDefault="00F22A31" w:rsidP="00943D70">
      <w:pPr>
        <w:numPr>
          <w:ilvl w:val="0"/>
          <w:numId w:val="1"/>
        </w:numPr>
        <w:spacing w:after="120"/>
        <w:jc w:val="both"/>
        <w:rPr>
          <w:rFonts w:ascii="Times New Roman" w:hAnsi="Times New Roman" w:cs="Times New Roman"/>
          <w:lang w:val="es-DO"/>
        </w:rPr>
      </w:pPr>
      <w:r w:rsidRPr="00B13A17">
        <w:rPr>
          <w:rFonts w:ascii="Times New Roman" w:hAnsi="Times New Roman" w:cs="Times New Roman"/>
          <w:lang w:val="es-DO"/>
        </w:rPr>
        <w:t xml:space="preserve">4 talleres para levantar información en las comunidades para sistematización </w:t>
      </w:r>
      <w:r w:rsidR="00B13A17" w:rsidRPr="00B13A17">
        <w:rPr>
          <w:rFonts w:ascii="Times New Roman" w:hAnsi="Times New Roman" w:cs="Times New Roman"/>
          <w:spacing w:val="-3"/>
          <w:w w:val="105"/>
        </w:rPr>
        <w:t>proceso de realización de las evaluaciones de necesidades y de los Planes de Acción Comunitarios (CAP)</w:t>
      </w:r>
    </w:p>
    <w:p w14:paraId="47190459" w14:textId="28A41524" w:rsidR="00677CDD" w:rsidRDefault="00AE55B1" w:rsidP="003D0E38">
      <w:pPr>
        <w:numPr>
          <w:ilvl w:val="0"/>
          <w:numId w:val="1"/>
        </w:numPr>
        <w:spacing w:after="120"/>
        <w:jc w:val="both"/>
        <w:rPr>
          <w:rFonts w:ascii="Times New Roman" w:hAnsi="Times New Roman" w:cs="Times New Roman"/>
          <w:spacing w:val="-3"/>
          <w:w w:val="105"/>
        </w:rPr>
      </w:pPr>
      <w:r w:rsidRPr="00677CDD">
        <w:rPr>
          <w:rFonts w:ascii="Times New Roman" w:hAnsi="Times New Roman" w:cs="Times New Roman"/>
          <w:lang w:val="es-DO"/>
        </w:rPr>
        <w:t xml:space="preserve">Realización de al menos 4 talleres para </w:t>
      </w:r>
      <w:r w:rsidR="00677CDD">
        <w:rPr>
          <w:rFonts w:ascii="Times New Roman" w:hAnsi="Times New Roman" w:cs="Times New Roman"/>
          <w:lang w:val="es-DO"/>
        </w:rPr>
        <w:t xml:space="preserve">la validación junto a las comunidades y los </w:t>
      </w:r>
      <w:r w:rsidR="003D0E38">
        <w:rPr>
          <w:rFonts w:ascii="Times New Roman" w:hAnsi="Times New Roman" w:cs="Times New Roman"/>
          <w:lang w:val="es-DO"/>
        </w:rPr>
        <w:t>socios del</w:t>
      </w:r>
      <w:r w:rsidR="00677CDD">
        <w:rPr>
          <w:rFonts w:ascii="Times New Roman" w:hAnsi="Times New Roman" w:cs="Times New Roman"/>
          <w:lang w:val="es-DO"/>
        </w:rPr>
        <w:t xml:space="preserve"> CLP </w:t>
      </w:r>
      <w:r w:rsidR="00677CDD">
        <w:rPr>
          <w:rFonts w:ascii="Times New Roman" w:hAnsi="Times New Roman" w:cs="Times New Roman"/>
          <w:spacing w:val="-3"/>
          <w:w w:val="105"/>
        </w:rPr>
        <w:t xml:space="preserve">de los </w:t>
      </w:r>
      <w:r w:rsidR="00677CDD" w:rsidRPr="00082939">
        <w:rPr>
          <w:rFonts w:ascii="Times New Roman" w:hAnsi="Times New Roman" w:cs="Times New Roman"/>
          <w:spacing w:val="-3"/>
          <w:w w:val="105"/>
        </w:rPr>
        <w:t>informes de evaluación de necesidades y</w:t>
      </w:r>
      <w:r w:rsidR="00677CDD">
        <w:rPr>
          <w:rFonts w:ascii="Times New Roman" w:hAnsi="Times New Roman" w:cs="Times New Roman"/>
          <w:spacing w:val="-3"/>
          <w:w w:val="105"/>
        </w:rPr>
        <w:t xml:space="preserve"> de los Planes de Acción Comunitarios (CAP)</w:t>
      </w:r>
    </w:p>
    <w:p w14:paraId="6C06DA19" w14:textId="478C0F69" w:rsidR="009F3F03" w:rsidRPr="00B4295B" w:rsidRDefault="00A42EAB" w:rsidP="00B4295B">
      <w:pPr>
        <w:numPr>
          <w:ilvl w:val="0"/>
          <w:numId w:val="1"/>
        </w:numPr>
        <w:spacing w:after="120"/>
        <w:jc w:val="both"/>
        <w:rPr>
          <w:rFonts w:ascii="Times New Roman" w:hAnsi="Times New Roman" w:cs="Times New Roman"/>
          <w:lang w:val="es-DO"/>
        </w:rPr>
      </w:pPr>
      <w:r w:rsidRPr="009F3F03">
        <w:rPr>
          <w:rFonts w:ascii="Times New Roman" w:hAnsi="Times New Roman" w:cs="Times New Roman"/>
          <w:lang w:val="es-DO"/>
        </w:rPr>
        <w:t xml:space="preserve">Realización de al menos 4 talleres para </w:t>
      </w:r>
      <w:r w:rsidR="00B4295B" w:rsidRPr="00B4295B">
        <w:rPr>
          <w:rFonts w:ascii="Times New Roman" w:hAnsi="Times New Roman" w:cs="Times New Roman"/>
          <w:lang w:val="es-DO"/>
        </w:rPr>
        <w:t>r</w:t>
      </w:r>
      <w:r w:rsidR="009F3F03" w:rsidRPr="00B4295B">
        <w:rPr>
          <w:rFonts w:ascii="Times New Roman" w:hAnsi="Times New Roman" w:cs="Times New Roman"/>
          <w:lang w:val="es-DO"/>
        </w:rPr>
        <w:t>ealizar una evaluación rápida del estado de los Planes de Acción Comunitarios (CAP) y de los Comités de Desarrollo Local (CODEC) establecidos desde el inicio del CLP en la República Dominicana, para identificar impactos y acciones críticas para su sostenibilidad</w:t>
      </w:r>
    </w:p>
    <w:p w14:paraId="7B83FAF2" w14:textId="77777777" w:rsidR="00D82B7A" w:rsidRPr="00D82B7A" w:rsidRDefault="00D82B7A" w:rsidP="00D82B7A">
      <w:pPr>
        <w:numPr>
          <w:ilvl w:val="0"/>
          <w:numId w:val="1"/>
        </w:numPr>
        <w:spacing w:after="120"/>
        <w:jc w:val="both"/>
        <w:rPr>
          <w:rFonts w:ascii="Times New Roman" w:hAnsi="Times New Roman" w:cs="Times New Roman"/>
          <w:lang w:val="es-DO"/>
        </w:rPr>
      </w:pPr>
      <w:r w:rsidRPr="00B13A17">
        <w:rPr>
          <w:rFonts w:ascii="Times New Roman" w:hAnsi="Times New Roman" w:cs="Times New Roman"/>
          <w:lang w:val="es-DO"/>
        </w:rPr>
        <w:t>4 talleres</w:t>
      </w:r>
      <w:r>
        <w:rPr>
          <w:rFonts w:ascii="Times New Roman" w:hAnsi="Times New Roman" w:cs="Times New Roman"/>
          <w:lang w:val="es-DO"/>
        </w:rPr>
        <w:t xml:space="preserve"> para una </w:t>
      </w:r>
      <w:r w:rsidRPr="00D82B7A">
        <w:rPr>
          <w:rFonts w:ascii="Times New Roman" w:hAnsi="Times New Roman" w:cs="Times New Roman"/>
          <w:lang w:val="es-DO"/>
        </w:rPr>
        <w:t>estrategia para establecer un programa de formación de formadores para el fortalecimiento de capacidades de las comunidades de CLP en el marco de los Comités de Desarrollo Local (CODEC)</w:t>
      </w:r>
    </w:p>
    <w:p w14:paraId="619D6B39" w14:textId="77777777" w:rsidR="00585245" w:rsidRPr="00B13A17" w:rsidRDefault="0023610D" w:rsidP="00585245">
      <w:pPr>
        <w:numPr>
          <w:ilvl w:val="0"/>
          <w:numId w:val="1"/>
        </w:numPr>
        <w:spacing w:after="120"/>
        <w:jc w:val="both"/>
        <w:rPr>
          <w:rFonts w:ascii="Times New Roman" w:hAnsi="Times New Roman" w:cs="Times New Roman"/>
          <w:lang w:val="es-DO"/>
        </w:rPr>
      </w:pPr>
      <w:r w:rsidRPr="00B6562C">
        <w:rPr>
          <w:rFonts w:ascii="Times New Roman" w:hAnsi="Times New Roman" w:cs="Times New Roman"/>
          <w:lang w:val="es-DO"/>
        </w:rPr>
        <w:t xml:space="preserve">Identificar </w:t>
      </w:r>
      <w:r w:rsidR="00C70214" w:rsidRPr="00B6562C">
        <w:rPr>
          <w:rFonts w:ascii="Times New Roman" w:hAnsi="Times New Roman" w:cs="Times New Roman"/>
          <w:lang w:val="es-DO"/>
        </w:rPr>
        <w:t xml:space="preserve">necesidades de formación para una mejor gestión </w:t>
      </w:r>
      <w:r w:rsidR="00BD6301">
        <w:rPr>
          <w:rFonts w:ascii="Times New Roman" w:hAnsi="Times New Roman" w:cs="Times New Roman"/>
          <w:lang w:val="es-DO"/>
        </w:rPr>
        <w:t xml:space="preserve">y entendimiento de </w:t>
      </w:r>
      <w:r w:rsidR="00585245">
        <w:rPr>
          <w:rFonts w:ascii="Times New Roman" w:hAnsi="Times New Roman" w:cs="Times New Roman"/>
          <w:lang w:val="es-DO"/>
        </w:rPr>
        <w:t xml:space="preserve">los procesos </w:t>
      </w:r>
      <w:r w:rsidR="00585245" w:rsidRPr="00B13A17">
        <w:rPr>
          <w:rFonts w:ascii="Times New Roman" w:hAnsi="Times New Roman" w:cs="Times New Roman"/>
          <w:spacing w:val="-3"/>
          <w:w w:val="105"/>
        </w:rPr>
        <w:t>evaluaciones de necesidades y de los Planes de Acción Comunitarios (CAP)</w:t>
      </w:r>
    </w:p>
    <w:p w14:paraId="7639658D" w14:textId="22334920" w:rsidR="00EA1963" w:rsidRPr="00B6562C" w:rsidRDefault="0076793D" w:rsidP="00C70214">
      <w:pPr>
        <w:pStyle w:val="ListParagraph"/>
        <w:numPr>
          <w:ilvl w:val="0"/>
          <w:numId w:val="1"/>
        </w:numPr>
        <w:spacing w:after="120"/>
        <w:contextualSpacing w:val="0"/>
        <w:jc w:val="both"/>
        <w:rPr>
          <w:rFonts w:ascii="Times New Roman" w:hAnsi="Times New Roman" w:cs="Times New Roman"/>
          <w:lang w:val="es-DO"/>
        </w:rPr>
      </w:pPr>
      <w:r w:rsidRPr="00B6562C">
        <w:rPr>
          <w:rFonts w:ascii="Times New Roman" w:hAnsi="Times New Roman" w:cs="Times New Roman"/>
          <w:lang w:val="es-DO"/>
        </w:rPr>
        <w:t xml:space="preserve">Diseñar </w:t>
      </w:r>
      <w:r w:rsidR="00DA485C" w:rsidRPr="00B6562C">
        <w:rPr>
          <w:rFonts w:ascii="Times New Roman" w:hAnsi="Times New Roman" w:cs="Times New Roman"/>
          <w:lang w:val="es-DO"/>
        </w:rPr>
        <w:t xml:space="preserve">y facilitar </w:t>
      </w:r>
      <w:r w:rsidRPr="00B6562C">
        <w:rPr>
          <w:rFonts w:ascii="Times New Roman" w:hAnsi="Times New Roman" w:cs="Times New Roman"/>
          <w:lang w:val="es-DO"/>
        </w:rPr>
        <w:t>un taller</w:t>
      </w:r>
      <w:r w:rsidR="003545CC" w:rsidRPr="00B6562C">
        <w:rPr>
          <w:rFonts w:ascii="Times New Roman" w:hAnsi="Times New Roman" w:cs="Times New Roman"/>
          <w:lang w:val="es-DO"/>
        </w:rPr>
        <w:t xml:space="preserve"> </w:t>
      </w:r>
      <w:r w:rsidRPr="00B6562C">
        <w:rPr>
          <w:rFonts w:ascii="Times New Roman" w:hAnsi="Times New Roman" w:cs="Times New Roman"/>
          <w:lang w:val="es-DO"/>
        </w:rPr>
        <w:t xml:space="preserve">de intercambio de información para los equipos técnicos de los </w:t>
      </w:r>
      <w:r w:rsidR="001B3F90">
        <w:rPr>
          <w:rFonts w:ascii="Times New Roman" w:hAnsi="Times New Roman" w:cs="Times New Roman"/>
          <w:lang w:val="es-DO"/>
        </w:rPr>
        <w:t>socios</w:t>
      </w:r>
    </w:p>
    <w:p w14:paraId="1702E44B" w14:textId="28483A32" w:rsidR="00041257" w:rsidRDefault="00041257" w:rsidP="000F4E30">
      <w:pPr>
        <w:spacing w:after="120"/>
        <w:ind w:left="720"/>
        <w:jc w:val="both"/>
        <w:rPr>
          <w:rFonts w:ascii="Times New Roman" w:hAnsi="Times New Roman" w:cs="Times New Roman"/>
          <w:lang w:val="es-DO"/>
        </w:rPr>
      </w:pPr>
    </w:p>
    <w:p w14:paraId="60469123" w14:textId="7CFFD1F7" w:rsidR="00580ADE" w:rsidRPr="00B6562C" w:rsidRDefault="00580ADE" w:rsidP="009E7078">
      <w:pPr>
        <w:spacing w:before="240"/>
        <w:jc w:val="both"/>
        <w:rPr>
          <w:rFonts w:ascii="Times New Roman" w:hAnsi="Times New Roman" w:cs="Times New Roman"/>
          <w:b/>
        </w:rPr>
      </w:pPr>
      <w:r w:rsidRPr="00B6562C">
        <w:rPr>
          <w:rFonts w:ascii="Times New Roman" w:hAnsi="Times New Roman" w:cs="Times New Roman"/>
          <w:b/>
        </w:rPr>
        <w:t>I</w:t>
      </w:r>
      <w:r w:rsidR="00F34762" w:rsidRPr="00B6562C">
        <w:rPr>
          <w:rFonts w:ascii="Times New Roman" w:hAnsi="Times New Roman" w:cs="Times New Roman"/>
          <w:b/>
        </w:rPr>
        <w:t>V</w:t>
      </w:r>
      <w:r w:rsidRPr="00B6562C">
        <w:rPr>
          <w:rFonts w:ascii="Times New Roman" w:hAnsi="Times New Roman" w:cs="Times New Roman"/>
          <w:b/>
        </w:rPr>
        <w:t xml:space="preserve">. Productos Esperados </w:t>
      </w:r>
    </w:p>
    <w:p w14:paraId="3E1A2EAE" w14:textId="21700A34" w:rsidR="009E7078" w:rsidRPr="00B6562C" w:rsidRDefault="00580ADE" w:rsidP="003771AD">
      <w:pPr>
        <w:pStyle w:val="BodyText"/>
        <w:jc w:val="both"/>
        <w:rPr>
          <w:lang w:val="es-DO"/>
        </w:rPr>
      </w:pPr>
      <w:r w:rsidRPr="00B6562C">
        <w:rPr>
          <w:lang w:val="es-DO"/>
        </w:rPr>
        <w:t>I</w:t>
      </w:r>
      <w:r w:rsidR="00BF2529" w:rsidRPr="00B6562C">
        <w:rPr>
          <w:lang w:val="es-DO"/>
        </w:rPr>
        <w:t>V</w:t>
      </w:r>
      <w:r w:rsidR="009E7078" w:rsidRPr="00B6562C">
        <w:rPr>
          <w:lang w:val="es-DO"/>
        </w:rPr>
        <w:t>.1</w:t>
      </w:r>
      <w:r w:rsidRPr="00B6562C">
        <w:rPr>
          <w:lang w:val="es-DO"/>
        </w:rPr>
        <w:t>-</w:t>
      </w:r>
      <w:r w:rsidR="009E7078" w:rsidRPr="00B6562C">
        <w:rPr>
          <w:lang w:val="es-DO"/>
        </w:rPr>
        <w:t xml:space="preserve"> A </w:t>
      </w:r>
      <w:r w:rsidR="00FC0F4C" w:rsidRPr="00B6562C">
        <w:rPr>
          <w:lang w:val="es-DO"/>
        </w:rPr>
        <w:t>continuación,</w:t>
      </w:r>
      <w:r w:rsidR="009E7078" w:rsidRPr="00B6562C">
        <w:rPr>
          <w:lang w:val="es-DO"/>
        </w:rPr>
        <w:t xml:space="preserve"> se indican los productos esperados:</w:t>
      </w:r>
    </w:p>
    <w:p w14:paraId="3E953524" w14:textId="77777777" w:rsidR="009435EB" w:rsidRPr="009435EB" w:rsidRDefault="009E7078" w:rsidP="00FC2D13">
      <w:pPr>
        <w:pStyle w:val="BodyText"/>
        <w:numPr>
          <w:ilvl w:val="0"/>
          <w:numId w:val="5"/>
        </w:numPr>
        <w:jc w:val="both"/>
        <w:rPr>
          <w:bCs/>
          <w:lang w:val="es-DO"/>
        </w:rPr>
      </w:pPr>
      <w:r w:rsidRPr="00B6562C">
        <w:rPr>
          <w:b/>
          <w:lang w:val="es-DO"/>
        </w:rPr>
        <w:t xml:space="preserve">Producto 1: </w:t>
      </w:r>
    </w:p>
    <w:p w14:paraId="01ACD7AF" w14:textId="03A47631" w:rsidR="00E23009" w:rsidRDefault="00AE198B" w:rsidP="009435EB">
      <w:pPr>
        <w:pStyle w:val="BodyText"/>
        <w:numPr>
          <w:ilvl w:val="0"/>
          <w:numId w:val="29"/>
        </w:numPr>
        <w:jc w:val="both"/>
        <w:rPr>
          <w:bCs/>
          <w:lang w:val="es-DO"/>
        </w:rPr>
      </w:pPr>
      <w:r>
        <w:rPr>
          <w:bCs/>
          <w:lang w:val="es-DO"/>
        </w:rPr>
        <w:t>S</w:t>
      </w:r>
      <w:r w:rsidR="003F2E69" w:rsidRPr="00FC2D13">
        <w:rPr>
          <w:bCs/>
          <w:lang w:val="es-DO"/>
        </w:rPr>
        <w:t>istematización</w:t>
      </w:r>
      <w:r w:rsidR="00627DA7" w:rsidRPr="00FC2D13">
        <w:rPr>
          <w:bCs/>
          <w:lang w:val="es-DO"/>
        </w:rPr>
        <w:t xml:space="preserve"> </w:t>
      </w:r>
      <w:r w:rsidR="00FC2D13">
        <w:rPr>
          <w:bCs/>
          <w:lang w:val="es-DO"/>
        </w:rPr>
        <w:t>del</w:t>
      </w:r>
      <w:r w:rsidR="00E23009" w:rsidRPr="00FC2D13">
        <w:rPr>
          <w:bCs/>
          <w:lang w:val="es-DO"/>
        </w:rPr>
        <w:t xml:space="preserve"> proceso de realización de las evaluaciones de necesidades y de los Planes de Acción Comunitarios (CAP)</w:t>
      </w:r>
    </w:p>
    <w:p w14:paraId="7CAF1BD3" w14:textId="312C1C51" w:rsidR="00AE198B" w:rsidRPr="00AE198B" w:rsidRDefault="00AE198B" w:rsidP="00AE198B">
      <w:pPr>
        <w:pStyle w:val="BodyText"/>
        <w:numPr>
          <w:ilvl w:val="0"/>
          <w:numId w:val="29"/>
        </w:numPr>
        <w:jc w:val="both"/>
        <w:rPr>
          <w:bCs/>
          <w:lang w:val="es-DO"/>
        </w:rPr>
      </w:pPr>
      <w:r w:rsidRPr="00AE198B">
        <w:rPr>
          <w:bCs/>
          <w:lang w:val="es-DO"/>
        </w:rPr>
        <w:t>Realización de un instrumento que permita entrenar a los lideres comunitarios para que sean protagonistas de su propio desarrollo</w:t>
      </w:r>
    </w:p>
    <w:p w14:paraId="5756DC63" w14:textId="4150D9E2" w:rsidR="00AE198B" w:rsidRPr="00AE198B" w:rsidRDefault="00AE198B" w:rsidP="00AE198B">
      <w:pPr>
        <w:pStyle w:val="BodyText"/>
        <w:numPr>
          <w:ilvl w:val="0"/>
          <w:numId w:val="29"/>
        </w:numPr>
        <w:jc w:val="both"/>
        <w:rPr>
          <w:bCs/>
          <w:lang w:val="es-DO"/>
        </w:rPr>
      </w:pPr>
      <w:r w:rsidRPr="00AE198B">
        <w:rPr>
          <w:bCs/>
          <w:lang w:val="es-DO"/>
        </w:rPr>
        <w:t>Realizar un plan de formación para el fortalecimiento de los socios</w:t>
      </w:r>
    </w:p>
    <w:p w14:paraId="171B4DD0" w14:textId="3C7D55D3" w:rsidR="00744CD6" w:rsidRDefault="00744CD6" w:rsidP="00744CD6">
      <w:pPr>
        <w:pStyle w:val="BodyText"/>
        <w:ind w:left="1800"/>
        <w:jc w:val="both"/>
        <w:rPr>
          <w:bCs/>
          <w:lang w:val="es-DO"/>
        </w:rPr>
      </w:pPr>
    </w:p>
    <w:p w14:paraId="2F525EF6" w14:textId="0611DF02" w:rsidR="009E43D7" w:rsidRDefault="009E43D7" w:rsidP="00744CD6">
      <w:pPr>
        <w:pStyle w:val="BodyText"/>
        <w:ind w:left="1800"/>
        <w:jc w:val="both"/>
        <w:rPr>
          <w:bCs/>
          <w:lang w:val="es-DO"/>
        </w:rPr>
      </w:pPr>
    </w:p>
    <w:p w14:paraId="76A508D2" w14:textId="77777777" w:rsidR="009E43D7" w:rsidRPr="007B68A7" w:rsidRDefault="009E43D7" w:rsidP="00744CD6">
      <w:pPr>
        <w:pStyle w:val="BodyText"/>
        <w:ind w:left="1800"/>
        <w:jc w:val="both"/>
        <w:rPr>
          <w:bCs/>
          <w:lang w:val="es-DO"/>
        </w:rPr>
      </w:pPr>
    </w:p>
    <w:p w14:paraId="6103DD94" w14:textId="77777777" w:rsidR="00744CD6" w:rsidRDefault="004E208B" w:rsidP="00352B89">
      <w:pPr>
        <w:pStyle w:val="BodyText"/>
        <w:numPr>
          <w:ilvl w:val="0"/>
          <w:numId w:val="5"/>
        </w:numPr>
        <w:jc w:val="both"/>
        <w:rPr>
          <w:bCs/>
          <w:lang w:val="es-DO"/>
        </w:rPr>
      </w:pPr>
      <w:r w:rsidRPr="00B6562C">
        <w:rPr>
          <w:b/>
          <w:lang w:val="es-DO"/>
        </w:rPr>
        <w:lastRenderedPageBreak/>
        <w:t xml:space="preserve">Producto </w:t>
      </w:r>
      <w:r w:rsidR="00352B89" w:rsidRPr="00B6562C">
        <w:rPr>
          <w:b/>
          <w:lang w:val="es-DO"/>
        </w:rPr>
        <w:t>2</w:t>
      </w:r>
      <w:r w:rsidRPr="00B6562C">
        <w:rPr>
          <w:b/>
          <w:lang w:val="es-DO"/>
        </w:rPr>
        <w:t>:</w:t>
      </w:r>
      <w:r w:rsidRPr="00B6562C">
        <w:rPr>
          <w:bCs/>
          <w:lang w:val="es-DO"/>
        </w:rPr>
        <w:t xml:space="preserve"> </w:t>
      </w:r>
    </w:p>
    <w:p w14:paraId="24CE79B0" w14:textId="77777777" w:rsidR="00A46E26" w:rsidRPr="00A46E26" w:rsidRDefault="00D621D5" w:rsidP="00A46E26">
      <w:pPr>
        <w:pStyle w:val="BodyText"/>
        <w:numPr>
          <w:ilvl w:val="0"/>
          <w:numId w:val="29"/>
        </w:numPr>
        <w:jc w:val="both"/>
        <w:rPr>
          <w:bCs/>
          <w:lang w:val="es-DO"/>
        </w:rPr>
      </w:pPr>
      <w:r w:rsidRPr="00B6562C">
        <w:rPr>
          <w:bCs/>
          <w:lang w:val="es-DO"/>
        </w:rPr>
        <w:t xml:space="preserve">Informe </w:t>
      </w:r>
      <w:r w:rsidR="00B052FF">
        <w:rPr>
          <w:bCs/>
          <w:lang w:val="es-DO"/>
        </w:rPr>
        <w:t xml:space="preserve">de </w:t>
      </w:r>
      <w:r w:rsidR="00A46E26">
        <w:rPr>
          <w:bCs/>
          <w:lang w:val="es-DO"/>
        </w:rPr>
        <w:t xml:space="preserve">la </w:t>
      </w:r>
      <w:r w:rsidR="00A46E26" w:rsidRPr="00A46E26">
        <w:rPr>
          <w:bCs/>
          <w:lang w:val="es-DO"/>
        </w:rPr>
        <w:t>evaluación rápida del estado de los Planes de Acción Comunitarios (CAP) y de los Comités de Desarrollo Local (CODEC) establecidos desde el inicio del CLP en la República Dominicana, para identificar impactos y acciones críticas para su sostenibilidad</w:t>
      </w:r>
    </w:p>
    <w:p w14:paraId="03A30F2B" w14:textId="5BD7B6A8" w:rsidR="00352B89" w:rsidRPr="00B052FF" w:rsidRDefault="00CB2F1F" w:rsidP="00744CD6">
      <w:pPr>
        <w:pStyle w:val="BodyText"/>
        <w:numPr>
          <w:ilvl w:val="0"/>
          <w:numId w:val="29"/>
        </w:numPr>
        <w:jc w:val="both"/>
        <w:rPr>
          <w:bCs/>
          <w:lang w:val="es-DO"/>
        </w:rPr>
      </w:pPr>
      <w:r>
        <w:rPr>
          <w:lang w:val="es-DO"/>
        </w:rPr>
        <w:t xml:space="preserve">Una </w:t>
      </w:r>
      <w:r w:rsidRPr="00D82B7A">
        <w:rPr>
          <w:lang w:val="es-DO"/>
        </w:rPr>
        <w:t>estrategia para establecer un programa de formación de formadores para el fortalecimiento de capacidades de las comunidades de CLP en el marco de los Comités de Desarrollo Local (CODEC)</w:t>
      </w:r>
    </w:p>
    <w:p w14:paraId="0B0BE0C7" w14:textId="7456C89E" w:rsidR="00021EBC" w:rsidRPr="00B6562C" w:rsidRDefault="00AB3326" w:rsidP="00352B89">
      <w:pPr>
        <w:pStyle w:val="BodyText"/>
        <w:ind w:left="720"/>
        <w:jc w:val="both"/>
        <w:rPr>
          <w:b/>
          <w:lang w:val="es-DO"/>
        </w:rPr>
      </w:pPr>
      <w:r w:rsidRPr="00B6562C">
        <w:rPr>
          <w:bCs/>
          <w:lang w:val="es-DO"/>
        </w:rPr>
        <w:t xml:space="preserve"> </w:t>
      </w:r>
    </w:p>
    <w:p w14:paraId="0296A949" w14:textId="2B87C1E3" w:rsidR="007A2252" w:rsidRPr="00B6562C" w:rsidRDefault="005D3EAC" w:rsidP="003771AD">
      <w:pPr>
        <w:pStyle w:val="BodyText"/>
        <w:jc w:val="both"/>
        <w:rPr>
          <w:color w:val="000000"/>
          <w:lang w:val="es-DO"/>
        </w:rPr>
      </w:pPr>
      <w:r w:rsidRPr="00B6562C">
        <w:rPr>
          <w:color w:val="000000"/>
          <w:lang w:val="es-DO"/>
        </w:rPr>
        <w:t>I</w:t>
      </w:r>
      <w:r w:rsidR="00BF2529" w:rsidRPr="00B6562C">
        <w:rPr>
          <w:color w:val="000000"/>
          <w:lang w:val="es-DO"/>
        </w:rPr>
        <w:t>V</w:t>
      </w:r>
      <w:r w:rsidRPr="00B6562C">
        <w:rPr>
          <w:color w:val="000000"/>
          <w:lang w:val="es-DO"/>
        </w:rPr>
        <w:t>.</w:t>
      </w:r>
      <w:r w:rsidR="003771AD" w:rsidRPr="00B6562C">
        <w:rPr>
          <w:color w:val="000000"/>
          <w:lang w:val="es-DO"/>
        </w:rPr>
        <w:t>2</w:t>
      </w:r>
      <w:r w:rsidRPr="00B6562C">
        <w:rPr>
          <w:color w:val="000000"/>
          <w:lang w:val="es-DO"/>
        </w:rPr>
        <w:t xml:space="preserve">- A </w:t>
      </w:r>
      <w:r w:rsidR="00FC0F4C" w:rsidRPr="00B6562C">
        <w:rPr>
          <w:color w:val="000000"/>
          <w:lang w:val="es-DO"/>
        </w:rPr>
        <w:t>continuación,</w:t>
      </w:r>
      <w:r w:rsidRPr="00B6562C">
        <w:rPr>
          <w:color w:val="000000"/>
          <w:lang w:val="es-DO"/>
        </w:rPr>
        <w:t xml:space="preserve"> s</w:t>
      </w:r>
      <w:r w:rsidR="00580ADE" w:rsidRPr="00B6562C">
        <w:rPr>
          <w:color w:val="000000"/>
          <w:lang w:val="es-DO"/>
        </w:rPr>
        <w:t xml:space="preserve">e </w:t>
      </w:r>
      <w:r w:rsidR="00580ADE" w:rsidRPr="00B6562C">
        <w:rPr>
          <w:lang w:val="es-ES"/>
        </w:rPr>
        <w:t>detallan</w:t>
      </w:r>
      <w:r w:rsidR="00580ADE" w:rsidRPr="00B6562C">
        <w:rPr>
          <w:color w:val="000000"/>
          <w:lang w:val="es-DO"/>
        </w:rPr>
        <w:t xml:space="preserve"> los productos a entregar</w:t>
      </w:r>
      <w:r w:rsidRPr="00B6562C">
        <w:rPr>
          <w:color w:val="000000"/>
          <w:lang w:val="es-DO"/>
        </w:rPr>
        <w:t xml:space="preserve"> y sus respectivos plazos: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323"/>
        <w:gridCol w:w="2166"/>
        <w:gridCol w:w="2085"/>
      </w:tblGrid>
      <w:tr w:rsidR="007A2252" w:rsidRPr="00B6562C" w14:paraId="0F79FF9C" w14:textId="77777777" w:rsidTr="00437FB8">
        <w:trPr>
          <w:jc w:val="center"/>
        </w:trPr>
        <w:tc>
          <w:tcPr>
            <w:tcW w:w="2057" w:type="dxa"/>
            <w:tcBorders>
              <w:top w:val="single" w:sz="4" w:space="0" w:color="auto"/>
              <w:left w:val="single" w:sz="4" w:space="0" w:color="auto"/>
              <w:bottom w:val="single" w:sz="4" w:space="0" w:color="auto"/>
              <w:right w:val="single" w:sz="4" w:space="0" w:color="auto"/>
            </w:tcBorders>
            <w:shd w:val="clear" w:color="auto" w:fill="92D050"/>
            <w:hideMark/>
          </w:tcPr>
          <w:p w14:paraId="46C257B9" w14:textId="42D980D1" w:rsidR="007A2252" w:rsidRPr="00B6562C" w:rsidRDefault="007A2252" w:rsidP="00135856">
            <w:pPr>
              <w:jc w:val="center"/>
              <w:rPr>
                <w:rFonts w:ascii="Times New Roman" w:hAnsi="Times New Roman" w:cs="Times New Roman"/>
                <w:b/>
                <w:lang w:val="es-DO"/>
              </w:rPr>
            </w:pPr>
            <w:r w:rsidRPr="00B6562C">
              <w:rPr>
                <w:rFonts w:ascii="Times New Roman" w:hAnsi="Times New Roman" w:cs="Times New Roman"/>
                <w:color w:val="000000"/>
                <w:lang w:val="es-DO"/>
              </w:rPr>
              <w:br w:type="page"/>
            </w:r>
            <w:r w:rsidRPr="00B6562C">
              <w:rPr>
                <w:rFonts w:ascii="Times New Roman" w:hAnsi="Times New Roman" w:cs="Times New Roman"/>
                <w:b/>
                <w:lang w:val="es-DO"/>
              </w:rPr>
              <w:t>Producto</w:t>
            </w:r>
          </w:p>
        </w:tc>
        <w:tc>
          <w:tcPr>
            <w:tcW w:w="1323" w:type="dxa"/>
            <w:tcBorders>
              <w:top w:val="single" w:sz="4" w:space="0" w:color="auto"/>
              <w:left w:val="single" w:sz="4" w:space="0" w:color="auto"/>
              <w:bottom w:val="single" w:sz="4" w:space="0" w:color="auto"/>
              <w:right w:val="single" w:sz="4" w:space="0" w:color="auto"/>
            </w:tcBorders>
            <w:shd w:val="clear" w:color="auto" w:fill="92D050"/>
          </w:tcPr>
          <w:p w14:paraId="28AC3EE8" w14:textId="031A674D" w:rsidR="007A2252" w:rsidRPr="00B6562C" w:rsidRDefault="007A2252" w:rsidP="00135856">
            <w:pPr>
              <w:jc w:val="center"/>
              <w:rPr>
                <w:rFonts w:ascii="Times New Roman" w:hAnsi="Times New Roman" w:cs="Times New Roman"/>
                <w:b/>
                <w:lang w:val="es-DO"/>
              </w:rPr>
            </w:pPr>
            <w:r w:rsidRPr="00B6562C">
              <w:rPr>
                <w:rFonts w:ascii="Times New Roman" w:hAnsi="Times New Roman" w:cs="Times New Roman"/>
                <w:b/>
                <w:lang w:val="es-DO"/>
              </w:rPr>
              <w:t>Porcentaje</w:t>
            </w:r>
          </w:p>
        </w:tc>
        <w:tc>
          <w:tcPr>
            <w:tcW w:w="2166" w:type="dxa"/>
            <w:tcBorders>
              <w:top w:val="single" w:sz="4" w:space="0" w:color="auto"/>
              <w:left w:val="single" w:sz="4" w:space="0" w:color="auto"/>
              <w:bottom w:val="single" w:sz="4" w:space="0" w:color="auto"/>
              <w:right w:val="single" w:sz="4" w:space="0" w:color="auto"/>
            </w:tcBorders>
            <w:shd w:val="clear" w:color="auto" w:fill="92D050"/>
            <w:hideMark/>
          </w:tcPr>
          <w:p w14:paraId="72F616EE" w14:textId="26F9B0B1" w:rsidR="007A2252" w:rsidRPr="00B6562C" w:rsidRDefault="007A2252" w:rsidP="00135856">
            <w:pPr>
              <w:jc w:val="center"/>
              <w:rPr>
                <w:rFonts w:ascii="Times New Roman" w:hAnsi="Times New Roman" w:cs="Times New Roman"/>
                <w:b/>
                <w:lang w:val="es-DO"/>
              </w:rPr>
            </w:pPr>
            <w:r w:rsidRPr="00B6562C">
              <w:rPr>
                <w:rFonts w:ascii="Times New Roman" w:hAnsi="Times New Roman" w:cs="Times New Roman"/>
                <w:b/>
                <w:lang w:val="es-DO"/>
              </w:rPr>
              <w:t>Duración estimada de ejecución</w:t>
            </w:r>
          </w:p>
        </w:tc>
        <w:tc>
          <w:tcPr>
            <w:tcW w:w="2085" w:type="dxa"/>
            <w:tcBorders>
              <w:top w:val="single" w:sz="4" w:space="0" w:color="auto"/>
              <w:left w:val="single" w:sz="4" w:space="0" w:color="auto"/>
              <w:bottom w:val="single" w:sz="4" w:space="0" w:color="auto"/>
              <w:right w:val="single" w:sz="4" w:space="0" w:color="auto"/>
            </w:tcBorders>
            <w:shd w:val="clear" w:color="auto" w:fill="92D050"/>
            <w:hideMark/>
          </w:tcPr>
          <w:p w14:paraId="65DAA1B1" w14:textId="77777777" w:rsidR="007A2252" w:rsidRPr="00B6562C" w:rsidRDefault="007A2252" w:rsidP="00135856">
            <w:pPr>
              <w:jc w:val="center"/>
              <w:rPr>
                <w:rFonts w:ascii="Times New Roman" w:hAnsi="Times New Roman" w:cs="Times New Roman"/>
                <w:b/>
                <w:lang w:val="es-DO"/>
              </w:rPr>
            </w:pPr>
            <w:r w:rsidRPr="00B6562C">
              <w:rPr>
                <w:rFonts w:ascii="Times New Roman" w:hAnsi="Times New Roman" w:cs="Times New Roman"/>
                <w:b/>
                <w:lang w:val="es-DO"/>
              </w:rPr>
              <w:t>Fecha estimada de entrega</w:t>
            </w:r>
          </w:p>
        </w:tc>
      </w:tr>
      <w:tr w:rsidR="007A2252" w:rsidRPr="00B6562C" w14:paraId="39CC584C" w14:textId="77777777" w:rsidTr="00437FB8">
        <w:trPr>
          <w:jc w:val="center"/>
        </w:trPr>
        <w:tc>
          <w:tcPr>
            <w:tcW w:w="2057" w:type="dxa"/>
            <w:tcBorders>
              <w:top w:val="single" w:sz="4" w:space="0" w:color="auto"/>
              <w:left w:val="single" w:sz="4" w:space="0" w:color="auto"/>
              <w:bottom w:val="single" w:sz="4" w:space="0" w:color="auto"/>
              <w:right w:val="single" w:sz="4" w:space="0" w:color="auto"/>
            </w:tcBorders>
          </w:tcPr>
          <w:p w14:paraId="4AFA4E63" w14:textId="77777777" w:rsidR="00E600DF" w:rsidRPr="00B6562C" w:rsidRDefault="00E600DF" w:rsidP="006F70F5">
            <w:pPr>
              <w:spacing w:after="0"/>
              <w:rPr>
                <w:rFonts w:ascii="Times New Roman" w:hAnsi="Times New Roman" w:cs="Times New Roman"/>
                <w:b/>
                <w:color w:val="000000"/>
              </w:rPr>
            </w:pPr>
            <w:r w:rsidRPr="00B6562C">
              <w:rPr>
                <w:rFonts w:ascii="Times New Roman" w:hAnsi="Times New Roman" w:cs="Times New Roman"/>
                <w:b/>
                <w:color w:val="000000"/>
              </w:rPr>
              <w:t xml:space="preserve">Producto 1: </w:t>
            </w:r>
          </w:p>
          <w:p w14:paraId="564FC442" w14:textId="4F4B769B" w:rsidR="007A2252" w:rsidRPr="00B6562C" w:rsidRDefault="007A2252" w:rsidP="006F70F5">
            <w:pPr>
              <w:spacing w:after="0"/>
              <w:rPr>
                <w:rFonts w:ascii="Times New Roman" w:hAnsi="Times New Roman" w:cs="Times New Roman"/>
                <w:color w:val="000000"/>
                <w:lang w:val="es-DO"/>
              </w:rPr>
            </w:pPr>
          </w:p>
        </w:tc>
        <w:tc>
          <w:tcPr>
            <w:tcW w:w="1323" w:type="dxa"/>
            <w:tcBorders>
              <w:top w:val="single" w:sz="4" w:space="0" w:color="auto"/>
              <w:left w:val="single" w:sz="4" w:space="0" w:color="auto"/>
              <w:bottom w:val="single" w:sz="4" w:space="0" w:color="auto"/>
              <w:right w:val="single" w:sz="4" w:space="0" w:color="auto"/>
            </w:tcBorders>
          </w:tcPr>
          <w:p w14:paraId="4D2907D8" w14:textId="213B5AB8" w:rsidR="007A2252" w:rsidRPr="00B6562C" w:rsidRDefault="009E43D7">
            <w:pPr>
              <w:jc w:val="both"/>
              <w:rPr>
                <w:rFonts w:ascii="Times New Roman" w:hAnsi="Times New Roman" w:cs="Times New Roman"/>
                <w:color w:val="000000"/>
                <w:lang w:val="es-DO"/>
              </w:rPr>
            </w:pPr>
            <w:r>
              <w:rPr>
                <w:rFonts w:ascii="Times New Roman" w:hAnsi="Times New Roman" w:cs="Times New Roman"/>
                <w:color w:val="000000"/>
                <w:lang w:val="es-DO"/>
              </w:rPr>
              <w:t xml:space="preserve">40 </w:t>
            </w:r>
            <w:r w:rsidR="008B3814" w:rsidRPr="00B6562C">
              <w:rPr>
                <w:rFonts w:ascii="Times New Roman" w:hAnsi="Times New Roman" w:cs="Times New Roman"/>
                <w:color w:val="000000"/>
                <w:lang w:val="es-DO"/>
              </w:rPr>
              <w:t>%</w:t>
            </w:r>
          </w:p>
        </w:tc>
        <w:tc>
          <w:tcPr>
            <w:tcW w:w="2166" w:type="dxa"/>
            <w:tcBorders>
              <w:top w:val="single" w:sz="4" w:space="0" w:color="auto"/>
              <w:left w:val="single" w:sz="4" w:space="0" w:color="auto"/>
              <w:bottom w:val="single" w:sz="4" w:space="0" w:color="auto"/>
              <w:right w:val="single" w:sz="4" w:space="0" w:color="auto"/>
            </w:tcBorders>
          </w:tcPr>
          <w:p w14:paraId="3A1ECA94" w14:textId="65EC1CA7" w:rsidR="007A2252" w:rsidRPr="00B6562C" w:rsidRDefault="009E43D7">
            <w:pPr>
              <w:jc w:val="both"/>
              <w:rPr>
                <w:rFonts w:ascii="Times New Roman" w:hAnsi="Times New Roman" w:cs="Times New Roman"/>
                <w:color w:val="000000"/>
                <w:lang w:val="es-DO"/>
              </w:rPr>
            </w:pPr>
            <w:r>
              <w:rPr>
                <w:rFonts w:ascii="Times New Roman" w:hAnsi="Times New Roman" w:cs="Times New Roman"/>
                <w:color w:val="000000"/>
                <w:lang w:val="es-DO"/>
              </w:rPr>
              <w:t>20</w:t>
            </w:r>
            <w:r w:rsidR="008B3814" w:rsidRPr="00B6562C">
              <w:rPr>
                <w:rFonts w:ascii="Times New Roman" w:hAnsi="Times New Roman" w:cs="Times New Roman"/>
                <w:color w:val="000000"/>
                <w:lang w:val="es-DO"/>
              </w:rPr>
              <w:t xml:space="preserve"> días</w:t>
            </w:r>
          </w:p>
        </w:tc>
        <w:tc>
          <w:tcPr>
            <w:tcW w:w="2085" w:type="dxa"/>
            <w:tcBorders>
              <w:top w:val="single" w:sz="4" w:space="0" w:color="auto"/>
              <w:left w:val="single" w:sz="4" w:space="0" w:color="auto"/>
              <w:bottom w:val="single" w:sz="4" w:space="0" w:color="auto"/>
              <w:right w:val="single" w:sz="4" w:space="0" w:color="auto"/>
            </w:tcBorders>
          </w:tcPr>
          <w:p w14:paraId="4A4E52D3" w14:textId="35B0A36F" w:rsidR="007A2252" w:rsidRPr="00B6562C" w:rsidRDefault="008B3814">
            <w:pPr>
              <w:jc w:val="both"/>
              <w:rPr>
                <w:rFonts w:ascii="Times New Roman" w:hAnsi="Times New Roman" w:cs="Times New Roman"/>
                <w:color w:val="000000"/>
                <w:lang w:val="es-DO"/>
              </w:rPr>
            </w:pPr>
            <w:r w:rsidRPr="00B6562C">
              <w:rPr>
                <w:rFonts w:ascii="Times New Roman" w:hAnsi="Times New Roman" w:cs="Times New Roman"/>
                <w:color w:val="000000"/>
                <w:lang w:val="es-DO"/>
              </w:rPr>
              <w:t>30 días luego de firma</w:t>
            </w:r>
            <w:r w:rsidR="00020929" w:rsidRPr="00B6562C">
              <w:rPr>
                <w:rFonts w:ascii="Times New Roman" w:hAnsi="Times New Roman" w:cs="Times New Roman"/>
                <w:color w:val="000000"/>
                <w:lang w:val="es-DO"/>
              </w:rPr>
              <w:t xml:space="preserve"> del contrato</w:t>
            </w:r>
          </w:p>
        </w:tc>
      </w:tr>
      <w:tr w:rsidR="00AE198B" w:rsidRPr="00B6562C" w14:paraId="7C9A8197" w14:textId="77777777" w:rsidTr="00437FB8">
        <w:trPr>
          <w:jc w:val="center"/>
        </w:trPr>
        <w:tc>
          <w:tcPr>
            <w:tcW w:w="2057" w:type="dxa"/>
            <w:tcBorders>
              <w:top w:val="single" w:sz="4" w:space="0" w:color="auto"/>
              <w:left w:val="single" w:sz="4" w:space="0" w:color="auto"/>
              <w:bottom w:val="single" w:sz="4" w:space="0" w:color="auto"/>
              <w:right w:val="single" w:sz="4" w:space="0" w:color="auto"/>
            </w:tcBorders>
          </w:tcPr>
          <w:p w14:paraId="133AEA89" w14:textId="363B13B7" w:rsidR="00AE198B" w:rsidRPr="00B6562C" w:rsidRDefault="00AE198B" w:rsidP="00AE198B">
            <w:pPr>
              <w:spacing w:after="0"/>
              <w:rPr>
                <w:rFonts w:ascii="Times New Roman" w:hAnsi="Times New Roman" w:cs="Times New Roman"/>
                <w:b/>
                <w:color w:val="000000"/>
              </w:rPr>
            </w:pPr>
            <w:r w:rsidRPr="00B6562C">
              <w:rPr>
                <w:rFonts w:ascii="Times New Roman" w:hAnsi="Times New Roman" w:cs="Times New Roman"/>
                <w:b/>
                <w:color w:val="000000"/>
              </w:rPr>
              <w:t xml:space="preserve">Producto </w:t>
            </w:r>
            <w:r>
              <w:rPr>
                <w:rFonts w:ascii="Times New Roman" w:hAnsi="Times New Roman" w:cs="Times New Roman"/>
                <w:b/>
                <w:color w:val="000000"/>
              </w:rPr>
              <w:t>2</w:t>
            </w:r>
            <w:r w:rsidRPr="00B6562C">
              <w:rPr>
                <w:rFonts w:ascii="Times New Roman" w:hAnsi="Times New Roman" w:cs="Times New Roman"/>
                <w:b/>
                <w:color w:val="000000"/>
              </w:rPr>
              <w:t xml:space="preserve">: </w:t>
            </w:r>
          </w:p>
          <w:p w14:paraId="69731387" w14:textId="77777777" w:rsidR="00AE198B" w:rsidRPr="00B6562C" w:rsidRDefault="00AE198B" w:rsidP="006F70F5">
            <w:pPr>
              <w:spacing w:after="0"/>
              <w:rPr>
                <w:rFonts w:ascii="Times New Roman" w:hAnsi="Times New Roman" w:cs="Times New Roman"/>
                <w:b/>
                <w:color w:val="000000"/>
              </w:rPr>
            </w:pPr>
          </w:p>
        </w:tc>
        <w:tc>
          <w:tcPr>
            <w:tcW w:w="1323" w:type="dxa"/>
            <w:tcBorders>
              <w:top w:val="single" w:sz="4" w:space="0" w:color="auto"/>
              <w:left w:val="single" w:sz="4" w:space="0" w:color="auto"/>
              <w:bottom w:val="single" w:sz="4" w:space="0" w:color="auto"/>
              <w:right w:val="single" w:sz="4" w:space="0" w:color="auto"/>
            </w:tcBorders>
          </w:tcPr>
          <w:p w14:paraId="7EC10B9D" w14:textId="4DE89AFD" w:rsidR="00AE198B" w:rsidRDefault="009E43D7">
            <w:pPr>
              <w:jc w:val="both"/>
              <w:rPr>
                <w:rFonts w:ascii="Times New Roman" w:hAnsi="Times New Roman" w:cs="Times New Roman"/>
                <w:color w:val="000000"/>
                <w:lang w:val="es-DO"/>
              </w:rPr>
            </w:pPr>
            <w:r>
              <w:rPr>
                <w:rFonts w:ascii="Times New Roman" w:hAnsi="Times New Roman" w:cs="Times New Roman"/>
                <w:color w:val="000000"/>
                <w:lang w:val="es-DO"/>
              </w:rPr>
              <w:t xml:space="preserve">60 </w:t>
            </w:r>
            <w:r w:rsidR="00AE198B">
              <w:rPr>
                <w:rFonts w:ascii="Times New Roman" w:hAnsi="Times New Roman" w:cs="Times New Roman"/>
                <w:color w:val="000000"/>
                <w:lang w:val="es-DO"/>
              </w:rPr>
              <w:t>%</w:t>
            </w:r>
          </w:p>
        </w:tc>
        <w:tc>
          <w:tcPr>
            <w:tcW w:w="2166" w:type="dxa"/>
            <w:tcBorders>
              <w:top w:val="single" w:sz="4" w:space="0" w:color="auto"/>
              <w:left w:val="single" w:sz="4" w:space="0" w:color="auto"/>
              <w:bottom w:val="single" w:sz="4" w:space="0" w:color="auto"/>
              <w:right w:val="single" w:sz="4" w:space="0" w:color="auto"/>
            </w:tcBorders>
          </w:tcPr>
          <w:p w14:paraId="4EE7839D" w14:textId="78DFAF17" w:rsidR="00AE198B" w:rsidRDefault="009E43D7">
            <w:pPr>
              <w:jc w:val="both"/>
              <w:rPr>
                <w:rFonts w:ascii="Times New Roman" w:hAnsi="Times New Roman" w:cs="Times New Roman"/>
                <w:color w:val="000000"/>
                <w:lang w:val="es-DO"/>
              </w:rPr>
            </w:pPr>
            <w:r>
              <w:rPr>
                <w:rFonts w:ascii="Times New Roman" w:hAnsi="Times New Roman" w:cs="Times New Roman"/>
                <w:color w:val="000000"/>
                <w:lang w:val="es-DO"/>
              </w:rPr>
              <w:t>30</w:t>
            </w:r>
            <w:r w:rsidR="00AE198B">
              <w:rPr>
                <w:rFonts w:ascii="Times New Roman" w:hAnsi="Times New Roman" w:cs="Times New Roman"/>
                <w:color w:val="000000"/>
                <w:lang w:val="es-DO"/>
              </w:rPr>
              <w:t xml:space="preserve"> </w:t>
            </w:r>
            <w:r>
              <w:rPr>
                <w:rFonts w:ascii="Times New Roman" w:hAnsi="Times New Roman" w:cs="Times New Roman"/>
                <w:color w:val="000000"/>
                <w:lang w:val="es-DO"/>
              </w:rPr>
              <w:t>días</w:t>
            </w:r>
          </w:p>
        </w:tc>
        <w:tc>
          <w:tcPr>
            <w:tcW w:w="2085" w:type="dxa"/>
            <w:tcBorders>
              <w:top w:val="single" w:sz="4" w:space="0" w:color="auto"/>
              <w:left w:val="single" w:sz="4" w:space="0" w:color="auto"/>
              <w:bottom w:val="single" w:sz="4" w:space="0" w:color="auto"/>
              <w:right w:val="single" w:sz="4" w:space="0" w:color="auto"/>
            </w:tcBorders>
          </w:tcPr>
          <w:p w14:paraId="22B1085C" w14:textId="6FC5F9AA" w:rsidR="00AE198B" w:rsidRPr="00B6562C" w:rsidRDefault="009E43D7">
            <w:pPr>
              <w:jc w:val="both"/>
              <w:rPr>
                <w:rFonts w:ascii="Times New Roman" w:hAnsi="Times New Roman" w:cs="Times New Roman"/>
                <w:color w:val="000000"/>
                <w:lang w:val="es-DO"/>
              </w:rPr>
            </w:pPr>
            <w:r>
              <w:rPr>
                <w:rFonts w:ascii="Times New Roman" w:hAnsi="Times New Roman" w:cs="Times New Roman"/>
                <w:color w:val="000000"/>
                <w:lang w:val="es-DO"/>
              </w:rPr>
              <w:t>60</w:t>
            </w:r>
            <w:r w:rsidR="00AE198B">
              <w:rPr>
                <w:rFonts w:ascii="Times New Roman" w:hAnsi="Times New Roman" w:cs="Times New Roman"/>
                <w:color w:val="000000"/>
                <w:lang w:val="es-DO"/>
              </w:rPr>
              <w:t xml:space="preserve"> </w:t>
            </w:r>
            <w:r w:rsidR="00AE198B" w:rsidRPr="00B6562C">
              <w:rPr>
                <w:rFonts w:ascii="Times New Roman" w:hAnsi="Times New Roman" w:cs="Times New Roman"/>
                <w:color w:val="000000"/>
                <w:lang w:val="es-DO"/>
              </w:rPr>
              <w:t>días luego de firma del contrato</w:t>
            </w:r>
          </w:p>
        </w:tc>
      </w:tr>
    </w:tbl>
    <w:p w14:paraId="639A5019" w14:textId="77777777" w:rsidR="00580ADE" w:rsidRPr="00B6562C" w:rsidRDefault="00580ADE" w:rsidP="00580ADE">
      <w:pPr>
        <w:pStyle w:val="BodyText"/>
        <w:jc w:val="both"/>
        <w:rPr>
          <w:highlight w:val="lightGray"/>
          <w:lang w:val="es-ES_tradnl"/>
        </w:rPr>
      </w:pPr>
    </w:p>
    <w:p w14:paraId="1A3C4F98" w14:textId="2F605BDD" w:rsidR="008452BA" w:rsidRPr="00B6562C" w:rsidRDefault="008452BA" w:rsidP="008452BA">
      <w:pPr>
        <w:pStyle w:val="BodyText"/>
        <w:spacing w:after="0"/>
        <w:jc w:val="both"/>
        <w:rPr>
          <w:lang w:val="es-DO"/>
        </w:rPr>
      </w:pPr>
      <w:r w:rsidRPr="00B6562C">
        <w:rPr>
          <w:lang w:val="es-ES"/>
        </w:rPr>
        <w:t>I</w:t>
      </w:r>
      <w:r w:rsidR="00BF2529" w:rsidRPr="00B6562C">
        <w:rPr>
          <w:lang w:val="es-ES"/>
        </w:rPr>
        <w:t>V</w:t>
      </w:r>
      <w:r w:rsidRPr="00B6562C">
        <w:rPr>
          <w:lang w:val="es-ES"/>
        </w:rPr>
        <w:t>.3- Todos los productos desarrollados como parte de las actividades de la consultoría serán entregados en forma electrónica.</w:t>
      </w:r>
      <w:r w:rsidRPr="00B6562C">
        <w:rPr>
          <w:lang w:val="es-DO"/>
        </w:rPr>
        <w:t xml:space="preserve"> Los informes deberán tener como anexo los documentos producidos durante la consultoría y serán presentados en las fechas previstas. Posterior a la revisión, todos los productos serán validados por la Oficial de Programa de la Unidad de Sostenibilidad y Resiliencia.</w:t>
      </w:r>
    </w:p>
    <w:p w14:paraId="6D601617" w14:textId="77777777" w:rsidR="008452BA" w:rsidRPr="00B6562C" w:rsidRDefault="008452BA" w:rsidP="00580ADE">
      <w:pPr>
        <w:pStyle w:val="BodyText"/>
        <w:jc w:val="both"/>
        <w:rPr>
          <w:highlight w:val="lightGray"/>
          <w:lang w:val="es-DO"/>
        </w:rPr>
      </w:pPr>
    </w:p>
    <w:p w14:paraId="31FFC6AB" w14:textId="1EB103E8" w:rsidR="00580ADE" w:rsidRPr="00B6562C" w:rsidRDefault="00580ADE" w:rsidP="00580ADE">
      <w:pPr>
        <w:jc w:val="both"/>
        <w:rPr>
          <w:rFonts w:ascii="Times New Roman" w:hAnsi="Times New Roman" w:cs="Times New Roman"/>
          <w:b/>
        </w:rPr>
      </w:pPr>
      <w:r w:rsidRPr="00B6562C">
        <w:rPr>
          <w:rFonts w:ascii="Times New Roman" w:hAnsi="Times New Roman" w:cs="Times New Roman"/>
          <w:b/>
          <w:lang w:val="es-CR"/>
        </w:rPr>
        <w:t xml:space="preserve">V. </w:t>
      </w:r>
      <w:r w:rsidRPr="00B6562C">
        <w:rPr>
          <w:rFonts w:ascii="Times New Roman" w:hAnsi="Times New Roman" w:cs="Times New Roman"/>
          <w:b/>
        </w:rPr>
        <w:t xml:space="preserve">Acuerdos </w:t>
      </w:r>
      <w:r w:rsidR="00EF4A80" w:rsidRPr="00B6562C">
        <w:rPr>
          <w:rFonts w:ascii="Times New Roman" w:hAnsi="Times New Roman" w:cs="Times New Roman"/>
          <w:b/>
        </w:rPr>
        <w:t>i</w:t>
      </w:r>
      <w:r w:rsidRPr="00B6562C">
        <w:rPr>
          <w:rFonts w:ascii="Times New Roman" w:hAnsi="Times New Roman" w:cs="Times New Roman"/>
          <w:b/>
        </w:rPr>
        <w:t>nstitucionales:</w:t>
      </w:r>
    </w:p>
    <w:p w14:paraId="2B3C7293" w14:textId="319805E9" w:rsidR="0088003E" w:rsidRPr="00B6562C" w:rsidRDefault="0088003E" w:rsidP="00D45EF0">
      <w:pPr>
        <w:spacing w:after="0"/>
        <w:jc w:val="both"/>
        <w:rPr>
          <w:rFonts w:ascii="Times New Roman" w:hAnsi="Times New Roman" w:cs="Times New Roman"/>
          <w:szCs w:val="20"/>
          <w:lang w:val="es-ES"/>
        </w:rPr>
      </w:pPr>
      <w:r w:rsidRPr="00B6562C">
        <w:rPr>
          <w:rFonts w:ascii="Times New Roman" w:eastAsia="Calibri" w:hAnsi="Times New Roman" w:cs="Times New Roman"/>
          <w:bCs/>
          <w:color w:val="000000"/>
          <w:lang w:val="es-ES"/>
        </w:rPr>
        <w:t xml:space="preserve">V.1. La administración de la consultoría estará a cargo de la </w:t>
      </w:r>
      <w:r w:rsidRPr="00B6562C">
        <w:rPr>
          <w:rFonts w:ascii="Times New Roman" w:eastAsia="Calibri" w:hAnsi="Times New Roman" w:cs="Times New Roman"/>
          <w:color w:val="000000"/>
          <w:lang w:val="es-ES"/>
        </w:rPr>
        <w:t>Oficial de Programa de la Unidad de Sostenibilidad ambiental y Resiliencia del Programa de las Naciones Unidas para el Desarrollo (PNUD) en República Dominicana o la persona que ella delegue. El/la consultor/a contará con este apoyo para facilitar el contacto y flujo de información con los equipos de los diferentes proyectos e iniciativas de la Unidad</w:t>
      </w:r>
      <w:r w:rsidR="00BF2529" w:rsidRPr="00B6562C">
        <w:rPr>
          <w:rFonts w:ascii="Times New Roman" w:eastAsia="Calibri" w:hAnsi="Times New Roman" w:cs="Times New Roman"/>
          <w:color w:val="000000"/>
          <w:lang w:val="es-ES"/>
        </w:rPr>
        <w:t>, así como para definir fecha y lugar del taller con los equipos de proyectos.</w:t>
      </w:r>
    </w:p>
    <w:p w14:paraId="5E08737C" w14:textId="77777777" w:rsidR="0088003E" w:rsidRPr="00B6562C" w:rsidRDefault="0088003E" w:rsidP="00580ADE">
      <w:pPr>
        <w:jc w:val="both"/>
        <w:rPr>
          <w:rFonts w:ascii="Times New Roman" w:hAnsi="Times New Roman" w:cs="Times New Roman"/>
          <w:b/>
        </w:rPr>
      </w:pPr>
    </w:p>
    <w:p w14:paraId="7E8CA0C3" w14:textId="30279B7B" w:rsidR="00580ADE" w:rsidRPr="00B6562C" w:rsidRDefault="00580ADE" w:rsidP="00580ADE">
      <w:pPr>
        <w:jc w:val="both"/>
        <w:rPr>
          <w:rFonts w:ascii="Times New Roman" w:hAnsi="Times New Roman" w:cs="Times New Roman"/>
          <w:b/>
        </w:rPr>
      </w:pPr>
      <w:r w:rsidRPr="00B6562C">
        <w:rPr>
          <w:rFonts w:ascii="Times New Roman" w:hAnsi="Times New Roman" w:cs="Times New Roman"/>
          <w:b/>
        </w:rPr>
        <w:t>V</w:t>
      </w:r>
      <w:r w:rsidR="00BF2529" w:rsidRPr="00B6562C">
        <w:rPr>
          <w:rFonts w:ascii="Times New Roman" w:hAnsi="Times New Roman" w:cs="Times New Roman"/>
          <w:b/>
        </w:rPr>
        <w:t>I</w:t>
      </w:r>
      <w:r w:rsidRPr="00B6562C">
        <w:rPr>
          <w:rFonts w:ascii="Times New Roman" w:hAnsi="Times New Roman" w:cs="Times New Roman"/>
          <w:b/>
        </w:rPr>
        <w:t>. Duración</w:t>
      </w:r>
      <w:r w:rsidR="00EF4A80" w:rsidRPr="00B6562C">
        <w:rPr>
          <w:rFonts w:ascii="Times New Roman" w:hAnsi="Times New Roman" w:cs="Times New Roman"/>
          <w:b/>
        </w:rPr>
        <w:t xml:space="preserve"> de la consultoría</w:t>
      </w:r>
      <w:r w:rsidRPr="00B6562C">
        <w:rPr>
          <w:rFonts w:ascii="Times New Roman" w:hAnsi="Times New Roman" w:cs="Times New Roman"/>
          <w:b/>
        </w:rPr>
        <w:t>:</w:t>
      </w:r>
    </w:p>
    <w:p w14:paraId="740048B4" w14:textId="68D3BD6E" w:rsidR="00580ADE" w:rsidRPr="00B6562C" w:rsidRDefault="00580ADE" w:rsidP="00580ADE">
      <w:pPr>
        <w:spacing w:before="120" w:after="0"/>
        <w:jc w:val="both"/>
        <w:rPr>
          <w:rFonts w:ascii="Times New Roman" w:hAnsi="Times New Roman" w:cs="Times New Roman"/>
          <w:lang w:val="es-ES"/>
        </w:rPr>
      </w:pPr>
      <w:r w:rsidRPr="00B6562C">
        <w:rPr>
          <w:rFonts w:ascii="Times New Roman" w:hAnsi="Times New Roman" w:cs="Times New Roman"/>
          <w:lang w:val="es-ES"/>
        </w:rPr>
        <w:t>V</w:t>
      </w:r>
      <w:r w:rsidR="00BF2529" w:rsidRPr="00B6562C">
        <w:rPr>
          <w:rFonts w:ascii="Times New Roman" w:hAnsi="Times New Roman" w:cs="Times New Roman"/>
          <w:lang w:val="es-ES"/>
        </w:rPr>
        <w:t>I</w:t>
      </w:r>
      <w:r w:rsidRPr="00B6562C">
        <w:rPr>
          <w:rFonts w:ascii="Times New Roman" w:hAnsi="Times New Roman" w:cs="Times New Roman"/>
          <w:lang w:val="es-ES"/>
        </w:rPr>
        <w:t>.1</w:t>
      </w:r>
      <w:r w:rsidR="00FD2FD3" w:rsidRPr="00B6562C">
        <w:rPr>
          <w:rFonts w:ascii="Times New Roman" w:hAnsi="Times New Roman" w:cs="Times New Roman"/>
          <w:lang w:val="es-ES"/>
        </w:rPr>
        <w:t>-</w:t>
      </w:r>
      <w:r w:rsidR="000B403F" w:rsidRPr="00B6562C">
        <w:rPr>
          <w:rFonts w:ascii="Times New Roman" w:hAnsi="Times New Roman" w:cs="Times New Roman"/>
          <w:color w:val="000000"/>
          <w:lang w:val="es-DO"/>
        </w:rPr>
        <w:t xml:space="preserve"> </w:t>
      </w:r>
      <w:r w:rsidR="00CD7CDE" w:rsidRPr="00B6562C">
        <w:rPr>
          <w:rFonts w:ascii="Times New Roman" w:hAnsi="Times New Roman" w:cs="Times New Roman"/>
          <w:color w:val="000000"/>
          <w:lang w:val="es-DO"/>
        </w:rPr>
        <w:t>Se pre</w:t>
      </w:r>
      <w:r w:rsidR="009C6413" w:rsidRPr="00B6562C">
        <w:rPr>
          <w:rFonts w:ascii="Times New Roman" w:hAnsi="Times New Roman" w:cs="Times New Roman"/>
          <w:color w:val="000000"/>
          <w:lang w:val="es-DO"/>
        </w:rPr>
        <w:t>vé</w:t>
      </w:r>
      <w:r w:rsidR="009626B1" w:rsidRPr="00B6562C">
        <w:rPr>
          <w:rFonts w:ascii="Times New Roman" w:hAnsi="Times New Roman" w:cs="Times New Roman"/>
          <w:color w:val="000000"/>
          <w:lang w:val="es-DO"/>
        </w:rPr>
        <w:t xml:space="preserve"> </w:t>
      </w:r>
      <w:r w:rsidR="006E7925" w:rsidRPr="00B6562C">
        <w:rPr>
          <w:rFonts w:ascii="Times New Roman" w:hAnsi="Times New Roman" w:cs="Times New Roman"/>
          <w:color w:val="000000"/>
          <w:lang w:val="es-DO"/>
        </w:rPr>
        <w:t>unos</w:t>
      </w:r>
      <w:r w:rsidR="000A55BC" w:rsidRPr="00B6562C">
        <w:rPr>
          <w:rFonts w:ascii="Times New Roman" w:hAnsi="Times New Roman" w:cs="Times New Roman"/>
          <w:color w:val="000000"/>
          <w:lang w:val="es-DO"/>
        </w:rPr>
        <w:t xml:space="preserve"> </w:t>
      </w:r>
      <w:r w:rsidR="009E43D7">
        <w:rPr>
          <w:rFonts w:ascii="Times New Roman" w:hAnsi="Times New Roman" w:cs="Times New Roman"/>
          <w:color w:val="000000"/>
          <w:lang w:val="es-DO"/>
        </w:rPr>
        <w:t>50</w:t>
      </w:r>
      <w:r w:rsidR="009C6413" w:rsidRPr="00B6562C">
        <w:rPr>
          <w:rFonts w:ascii="Times New Roman" w:hAnsi="Times New Roman" w:cs="Times New Roman"/>
          <w:color w:val="000000"/>
          <w:lang w:val="es-DO"/>
        </w:rPr>
        <w:t xml:space="preserve"> días </w:t>
      </w:r>
      <w:r w:rsidR="006E7925" w:rsidRPr="00B6562C">
        <w:rPr>
          <w:rFonts w:ascii="Times New Roman" w:hAnsi="Times New Roman" w:cs="Times New Roman"/>
          <w:color w:val="000000"/>
          <w:lang w:val="es-DO"/>
        </w:rPr>
        <w:t xml:space="preserve">de esfuerzo </w:t>
      </w:r>
      <w:r w:rsidR="00E41309" w:rsidRPr="00B6562C">
        <w:rPr>
          <w:rFonts w:ascii="Times New Roman" w:hAnsi="Times New Roman" w:cs="Times New Roman"/>
          <w:color w:val="000000"/>
          <w:lang w:val="es-DO"/>
        </w:rPr>
        <w:t>para la ejecución</w:t>
      </w:r>
      <w:r w:rsidR="009C6413" w:rsidRPr="00B6562C">
        <w:rPr>
          <w:rFonts w:ascii="Times New Roman" w:hAnsi="Times New Roman" w:cs="Times New Roman"/>
          <w:color w:val="000000"/>
          <w:lang w:val="es-DO"/>
        </w:rPr>
        <w:t xml:space="preserve"> y entrega de los </w:t>
      </w:r>
      <w:r w:rsidR="000A55BC" w:rsidRPr="00B6562C">
        <w:rPr>
          <w:rFonts w:ascii="Times New Roman" w:hAnsi="Times New Roman" w:cs="Times New Roman"/>
          <w:color w:val="000000"/>
          <w:lang w:val="es-DO"/>
        </w:rPr>
        <w:t>productos dentro</w:t>
      </w:r>
      <w:r w:rsidR="00104C05" w:rsidRPr="00B6562C">
        <w:rPr>
          <w:rFonts w:ascii="Times New Roman" w:hAnsi="Times New Roman" w:cs="Times New Roman"/>
          <w:color w:val="000000"/>
          <w:lang w:val="es-DO"/>
        </w:rPr>
        <w:t xml:space="preserve"> de un período</w:t>
      </w:r>
      <w:r w:rsidR="001279FF" w:rsidRPr="00B6562C">
        <w:rPr>
          <w:rFonts w:ascii="Times New Roman" w:hAnsi="Times New Roman" w:cs="Times New Roman"/>
          <w:color w:val="000000"/>
          <w:lang w:val="es-DO"/>
        </w:rPr>
        <w:t xml:space="preserve"> de </w:t>
      </w:r>
      <w:r w:rsidR="00104C05" w:rsidRPr="00B6562C">
        <w:rPr>
          <w:rFonts w:ascii="Times New Roman" w:hAnsi="Times New Roman" w:cs="Times New Roman"/>
          <w:color w:val="000000"/>
          <w:lang w:val="es-DO"/>
        </w:rPr>
        <w:t>tres meses</w:t>
      </w:r>
      <w:r w:rsidR="002220BE" w:rsidRPr="00B6562C">
        <w:rPr>
          <w:rFonts w:ascii="Times New Roman" w:hAnsi="Times New Roman" w:cs="Times New Roman"/>
          <w:color w:val="000000"/>
          <w:lang w:val="es-DO"/>
        </w:rPr>
        <w:t xml:space="preserve"> </w:t>
      </w:r>
      <w:r w:rsidR="009626B1" w:rsidRPr="00B6562C">
        <w:rPr>
          <w:rFonts w:ascii="Times New Roman" w:hAnsi="Times New Roman" w:cs="Times New Roman"/>
          <w:color w:val="000000"/>
          <w:lang w:val="es-DO"/>
        </w:rPr>
        <w:t xml:space="preserve">contados </w:t>
      </w:r>
      <w:r w:rsidR="002220BE" w:rsidRPr="00B6562C">
        <w:rPr>
          <w:rFonts w:ascii="Times New Roman" w:hAnsi="Times New Roman" w:cs="Times New Roman"/>
          <w:color w:val="000000"/>
          <w:lang w:val="es-DO"/>
        </w:rPr>
        <w:t>a partir de la firma del contrato</w:t>
      </w:r>
      <w:r w:rsidR="002E7AAD" w:rsidRPr="00B6562C">
        <w:rPr>
          <w:rFonts w:ascii="Times New Roman" w:hAnsi="Times New Roman" w:cs="Times New Roman"/>
          <w:color w:val="000000"/>
          <w:lang w:val="es-DO"/>
        </w:rPr>
        <w:t>.</w:t>
      </w:r>
    </w:p>
    <w:p w14:paraId="6A19494A" w14:textId="5EC897D0" w:rsidR="00580ADE" w:rsidRDefault="00580ADE" w:rsidP="00580ADE">
      <w:pPr>
        <w:jc w:val="both"/>
        <w:rPr>
          <w:rFonts w:ascii="Times New Roman" w:hAnsi="Times New Roman" w:cs="Times New Roman"/>
          <w:lang w:val="es-ES"/>
        </w:rPr>
      </w:pPr>
    </w:p>
    <w:p w14:paraId="5074E1DD" w14:textId="2F09AE9B" w:rsidR="00B052FF" w:rsidRDefault="00B052FF" w:rsidP="00580ADE">
      <w:pPr>
        <w:jc w:val="both"/>
        <w:rPr>
          <w:rFonts w:ascii="Times New Roman" w:hAnsi="Times New Roman" w:cs="Times New Roman"/>
          <w:lang w:val="es-ES"/>
        </w:rPr>
      </w:pPr>
    </w:p>
    <w:p w14:paraId="217C498D" w14:textId="77777777" w:rsidR="00B052FF" w:rsidRPr="00B6562C" w:rsidRDefault="00B052FF" w:rsidP="00580ADE">
      <w:pPr>
        <w:jc w:val="both"/>
        <w:rPr>
          <w:rFonts w:ascii="Times New Roman" w:hAnsi="Times New Roman" w:cs="Times New Roman"/>
          <w:lang w:val="es-ES"/>
        </w:rPr>
      </w:pPr>
    </w:p>
    <w:p w14:paraId="671D8E5F" w14:textId="47CA8E7C" w:rsidR="00580ADE" w:rsidRPr="00B6562C" w:rsidRDefault="00580ADE" w:rsidP="00580ADE">
      <w:pPr>
        <w:jc w:val="both"/>
        <w:rPr>
          <w:rFonts w:ascii="Times New Roman" w:hAnsi="Times New Roman" w:cs="Times New Roman"/>
          <w:b/>
          <w:lang w:val="es-CR"/>
        </w:rPr>
      </w:pPr>
      <w:r w:rsidRPr="00B6562C">
        <w:rPr>
          <w:rFonts w:ascii="Times New Roman" w:hAnsi="Times New Roman" w:cs="Times New Roman"/>
          <w:b/>
          <w:lang w:val="es-CR"/>
        </w:rPr>
        <w:lastRenderedPageBreak/>
        <w:t>V</w:t>
      </w:r>
      <w:r w:rsidR="00BF2529" w:rsidRPr="00B6562C">
        <w:rPr>
          <w:rFonts w:ascii="Times New Roman" w:hAnsi="Times New Roman" w:cs="Times New Roman"/>
          <w:b/>
          <w:lang w:val="es-CR"/>
        </w:rPr>
        <w:t>I</w:t>
      </w:r>
      <w:r w:rsidRPr="00B6562C">
        <w:rPr>
          <w:rFonts w:ascii="Times New Roman" w:hAnsi="Times New Roman" w:cs="Times New Roman"/>
          <w:b/>
          <w:lang w:val="es-CR"/>
        </w:rPr>
        <w:t>I. Lugar de prestación de servicios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253"/>
      </w:tblGrid>
      <w:tr w:rsidR="001D121B" w:rsidRPr="00070700" w14:paraId="0AADD3CD" w14:textId="77777777" w:rsidTr="00D70793">
        <w:trPr>
          <w:jc w:val="center"/>
        </w:trPr>
        <w:tc>
          <w:tcPr>
            <w:tcW w:w="2410" w:type="dxa"/>
            <w:shd w:val="clear" w:color="auto" w:fill="auto"/>
          </w:tcPr>
          <w:p w14:paraId="6519D70E" w14:textId="77777777" w:rsidR="001D121B" w:rsidRPr="0015051F" w:rsidRDefault="001D121B" w:rsidP="00D70793">
            <w:pPr>
              <w:spacing w:line="220" w:lineRule="atLeast"/>
              <w:jc w:val="center"/>
              <w:rPr>
                <w:rFonts w:cs="Calibri"/>
                <w:b/>
                <w:bCs/>
                <w:sz w:val="22"/>
                <w:szCs w:val="22"/>
              </w:rPr>
            </w:pPr>
            <w:r w:rsidRPr="0015051F">
              <w:rPr>
                <w:rFonts w:cs="Calibri"/>
                <w:b/>
                <w:bCs/>
                <w:sz w:val="22"/>
                <w:szCs w:val="22"/>
              </w:rPr>
              <w:t>PROVINCIAS</w:t>
            </w:r>
          </w:p>
        </w:tc>
        <w:tc>
          <w:tcPr>
            <w:tcW w:w="4253" w:type="dxa"/>
            <w:shd w:val="clear" w:color="auto" w:fill="auto"/>
          </w:tcPr>
          <w:p w14:paraId="2B5C3018" w14:textId="77777777" w:rsidR="001D121B" w:rsidRPr="0015051F" w:rsidRDefault="001D121B" w:rsidP="00D70793">
            <w:pPr>
              <w:spacing w:line="220" w:lineRule="atLeast"/>
              <w:jc w:val="center"/>
              <w:rPr>
                <w:rFonts w:cs="Calibri"/>
                <w:b/>
                <w:bCs/>
                <w:sz w:val="22"/>
                <w:szCs w:val="22"/>
              </w:rPr>
            </w:pPr>
            <w:r w:rsidRPr="0015051F">
              <w:rPr>
                <w:rFonts w:cs="Calibri"/>
                <w:b/>
                <w:bCs/>
                <w:sz w:val="22"/>
                <w:szCs w:val="22"/>
              </w:rPr>
              <w:t>MUNICIPIOS</w:t>
            </w:r>
          </w:p>
        </w:tc>
      </w:tr>
      <w:tr w:rsidR="001D121B" w:rsidRPr="00070700" w14:paraId="4AB5A873" w14:textId="77777777" w:rsidTr="00D70793">
        <w:trPr>
          <w:jc w:val="center"/>
        </w:trPr>
        <w:tc>
          <w:tcPr>
            <w:tcW w:w="2410" w:type="dxa"/>
            <w:shd w:val="clear" w:color="auto" w:fill="auto"/>
          </w:tcPr>
          <w:p w14:paraId="49A31319" w14:textId="77777777" w:rsidR="001D121B" w:rsidRPr="0015051F" w:rsidRDefault="001D121B" w:rsidP="00D70793">
            <w:pPr>
              <w:spacing w:line="220" w:lineRule="atLeast"/>
              <w:rPr>
                <w:rFonts w:cs="Calibri"/>
                <w:b/>
                <w:bCs/>
                <w:sz w:val="22"/>
                <w:szCs w:val="22"/>
              </w:rPr>
            </w:pPr>
            <w:r w:rsidRPr="0015051F">
              <w:rPr>
                <w:rFonts w:cs="Calibri"/>
                <w:b/>
                <w:bCs/>
                <w:sz w:val="22"/>
                <w:szCs w:val="22"/>
              </w:rPr>
              <w:t>Monte Plata</w:t>
            </w:r>
          </w:p>
        </w:tc>
        <w:tc>
          <w:tcPr>
            <w:tcW w:w="4253" w:type="dxa"/>
            <w:shd w:val="clear" w:color="auto" w:fill="auto"/>
          </w:tcPr>
          <w:p w14:paraId="102085B2" w14:textId="77777777" w:rsidR="001D121B" w:rsidRPr="0015051F" w:rsidRDefault="001D121B" w:rsidP="00D70793">
            <w:pPr>
              <w:spacing w:line="220" w:lineRule="atLeast"/>
              <w:rPr>
                <w:rFonts w:cs="Calibri"/>
                <w:sz w:val="22"/>
                <w:szCs w:val="22"/>
              </w:rPr>
            </w:pPr>
            <w:r w:rsidRPr="0015051F">
              <w:rPr>
                <w:rFonts w:cs="Calibri"/>
                <w:sz w:val="22"/>
                <w:szCs w:val="22"/>
              </w:rPr>
              <w:t xml:space="preserve">Yamasá y </w:t>
            </w:r>
            <w:proofErr w:type="spellStart"/>
            <w:r w:rsidRPr="0015051F">
              <w:rPr>
                <w:rFonts w:cs="Calibri"/>
                <w:sz w:val="22"/>
                <w:szCs w:val="22"/>
              </w:rPr>
              <w:t>Bayaguana</w:t>
            </w:r>
            <w:proofErr w:type="spellEnd"/>
            <w:r w:rsidRPr="0015051F">
              <w:rPr>
                <w:rFonts w:cs="Calibri"/>
                <w:sz w:val="22"/>
                <w:szCs w:val="22"/>
              </w:rPr>
              <w:t xml:space="preserve"> </w:t>
            </w:r>
          </w:p>
        </w:tc>
      </w:tr>
      <w:tr w:rsidR="001D121B" w:rsidRPr="00070700" w14:paraId="703579C8" w14:textId="77777777" w:rsidTr="00D70793">
        <w:trPr>
          <w:jc w:val="center"/>
        </w:trPr>
        <w:tc>
          <w:tcPr>
            <w:tcW w:w="2410" w:type="dxa"/>
            <w:shd w:val="clear" w:color="auto" w:fill="auto"/>
          </w:tcPr>
          <w:p w14:paraId="360C12C1" w14:textId="77777777" w:rsidR="001D121B" w:rsidRPr="0015051F" w:rsidRDefault="001D121B" w:rsidP="00D70793">
            <w:pPr>
              <w:spacing w:line="220" w:lineRule="atLeast"/>
              <w:rPr>
                <w:rFonts w:cs="Calibri"/>
                <w:b/>
                <w:bCs/>
                <w:sz w:val="22"/>
                <w:szCs w:val="22"/>
              </w:rPr>
            </w:pPr>
            <w:r w:rsidRPr="0015051F">
              <w:rPr>
                <w:rFonts w:cs="Calibri"/>
                <w:b/>
                <w:bCs/>
                <w:sz w:val="22"/>
                <w:szCs w:val="22"/>
              </w:rPr>
              <w:t>Puerto Plata</w:t>
            </w:r>
          </w:p>
        </w:tc>
        <w:tc>
          <w:tcPr>
            <w:tcW w:w="4253" w:type="dxa"/>
            <w:shd w:val="clear" w:color="auto" w:fill="auto"/>
          </w:tcPr>
          <w:p w14:paraId="08383AD4" w14:textId="77777777" w:rsidR="001D121B" w:rsidRPr="0015051F" w:rsidRDefault="001D121B" w:rsidP="00D70793">
            <w:pPr>
              <w:spacing w:line="220" w:lineRule="atLeast"/>
              <w:rPr>
                <w:rFonts w:cs="Calibri"/>
                <w:sz w:val="22"/>
                <w:szCs w:val="22"/>
              </w:rPr>
            </w:pPr>
            <w:r w:rsidRPr="0015051F">
              <w:rPr>
                <w:rFonts w:cs="Calibri"/>
                <w:sz w:val="22"/>
                <w:szCs w:val="22"/>
              </w:rPr>
              <w:t xml:space="preserve">Altamira, </w:t>
            </w:r>
            <w:proofErr w:type="spellStart"/>
            <w:r w:rsidRPr="0015051F">
              <w:rPr>
                <w:rFonts w:cs="Calibri"/>
                <w:sz w:val="22"/>
                <w:szCs w:val="22"/>
              </w:rPr>
              <w:t>Guananico</w:t>
            </w:r>
            <w:proofErr w:type="spellEnd"/>
            <w:r w:rsidRPr="0015051F">
              <w:rPr>
                <w:rFonts w:cs="Calibri"/>
                <w:sz w:val="22"/>
                <w:szCs w:val="22"/>
              </w:rPr>
              <w:t xml:space="preserve"> y Los Hidalgos</w:t>
            </w:r>
          </w:p>
        </w:tc>
      </w:tr>
      <w:tr w:rsidR="001D121B" w:rsidRPr="00070700" w14:paraId="09CE62B8" w14:textId="77777777" w:rsidTr="00D70793">
        <w:trPr>
          <w:jc w:val="center"/>
        </w:trPr>
        <w:tc>
          <w:tcPr>
            <w:tcW w:w="2410" w:type="dxa"/>
            <w:shd w:val="clear" w:color="auto" w:fill="auto"/>
          </w:tcPr>
          <w:p w14:paraId="4E8DD249" w14:textId="77777777" w:rsidR="001D121B" w:rsidRPr="0015051F" w:rsidRDefault="001D121B" w:rsidP="00D70793">
            <w:pPr>
              <w:spacing w:line="220" w:lineRule="atLeast"/>
              <w:rPr>
                <w:rFonts w:cs="Calibri"/>
                <w:b/>
                <w:bCs/>
                <w:sz w:val="22"/>
                <w:szCs w:val="22"/>
              </w:rPr>
            </w:pPr>
            <w:r w:rsidRPr="0015051F">
              <w:rPr>
                <w:rFonts w:cs="Calibri"/>
                <w:b/>
                <w:bCs/>
                <w:sz w:val="22"/>
                <w:szCs w:val="22"/>
              </w:rPr>
              <w:t>Duarte</w:t>
            </w:r>
          </w:p>
        </w:tc>
        <w:tc>
          <w:tcPr>
            <w:tcW w:w="4253" w:type="dxa"/>
            <w:shd w:val="clear" w:color="auto" w:fill="auto"/>
          </w:tcPr>
          <w:p w14:paraId="31C91243" w14:textId="77777777" w:rsidR="001D121B" w:rsidRPr="0015051F" w:rsidRDefault="001D121B" w:rsidP="00D70793">
            <w:pPr>
              <w:spacing w:line="220" w:lineRule="atLeast"/>
              <w:rPr>
                <w:rFonts w:cs="Calibri"/>
                <w:sz w:val="22"/>
                <w:szCs w:val="22"/>
              </w:rPr>
            </w:pPr>
            <w:r w:rsidRPr="0015051F">
              <w:rPr>
                <w:rFonts w:cs="Calibri"/>
                <w:sz w:val="22"/>
                <w:szCs w:val="22"/>
              </w:rPr>
              <w:t>Castillo y Arenoso</w:t>
            </w:r>
          </w:p>
        </w:tc>
      </w:tr>
      <w:tr w:rsidR="001D121B" w:rsidRPr="00070700" w14:paraId="4C97637A" w14:textId="77777777" w:rsidTr="00D70793">
        <w:trPr>
          <w:jc w:val="center"/>
        </w:trPr>
        <w:tc>
          <w:tcPr>
            <w:tcW w:w="2410" w:type="dxa"/>
            <w:shd w:val="clear" w:color="auto" w:fill="auto"/>
          </w:tcPr>
          <w:p w14:paraId="4DADE02B" w14:textId="77777777" w:rsidR="001D121B" w:rsidRPr="0015051F" w:rsidRDefault="001D121B" w:rsidP="00D70793">
            <w:pPr>
              <w:spacing w:line="220" w:lineRule="atLeast"/>
              <w:rPr>
                <w:rFonts w:cs="Calibri"/>
                <w:b/>
                <w:bCs/>
                <w:sz w:val="22"/>
                <w:szCs w:val="22"/>
              </w:rPr>
            </w:pPr>
            <w:r w:rsidRPr="0015051F">
              <w:rPr>
                <w:rFonts w:cs="Calibri"/>
                <w:b/>
                <w:bCs/>
                <w:sz w:val="22"/>
                <w:szCs w:val="22"/>
              </w:rPr>
              <w:t>Maria Trinidad Sánchez</w:t>
            </w:r>
          </w:p>
        </w:tc>
        <w:tc>
          <w:tcPr>
            <w:tcW w:w="4253" w:type="dxa"/>
            <w:shd w:val="clear" w:color="auto" w:fill="auto"/>
          </w:tcPr>
          <w:p w14:paraId="227DBBB9" w14:textId="77777777" w:rsidR="001D121B" w:rsidRPr="0015051F" w:rsidRDefault="001D121B" w:rsidP="00D70793">
            <w:pPr>
              <w:spacing w:line="220" w:lineRule="atLeast"/>
              <w:rPr>
                <w:rFonts w:cs="Calibri"/>
                <w:sz w:val="22"/>
                <w:szCs w:val="22"/>
              </w:rPr>
            </w:pPr>
            <w:r w:rsidRPr="0015051F">
              <w:rPr>
                <w:rFonts w:cs="Calibri"/>
                <w:sz w:val="22"/>
                <w:szCs w:val="22"/>
              </w:rPr>
              <w:t>Nagua y el Factor</w:t>
            </w:r>
          </w:p>
        </w:tc>
      </w:tr>
      <w:tr w:rsidR="001D121B" w:rsidRPr="00070700" w14:paraId="3100531B" w14:textId="77777777" w:rsidTr="00D70793">
        <w:trPr>
          <w:jc w:val="center"/>
        </w:trPr>
        <w:tc>
          <w:tcPr>
            <w:tcW w:w="2410" w:type="dxa"/>
            <w:shd w:val="clear" w:color="auto" w:fill="auto"/>
          </w:tcPr>
          <w:p w14:paraId="66D00CCB" w14:textId="77777777" w:rsidR="001D121B" w:rsidRPr="0015051F" w:rsidRDefault="001D121B" w:rsidP="00D70793">
            <w:pPr>
              <w:spacing w:line="220" w:lineRule="atLeast"/>
              <w:rPr>
                <w:rFonts w:cs="Calibri"/>
                <w:b/>
                <w:bCs/>
                <w:sz w:val="22"/>
                <w:szCs w:val="22"/>
              </w:rPr>
            </w:pPr>
            <w:r w:rsidRPr="0015051F">
              <w:rPr>
                <w:rFonts w:cs="Calibri"/>
                <w:b/>
                <w:bCs/>
                <w:sz w:val="22"/>
                <w:szCs w:val="22"/>
              </w:rPr>
              <w:t>Sanchez Ramirez</w:t>
            </w:r>
          </w:p>
        </w:tc>
        <w:tc>
          <w:tcPr>
            <w:tcW w:w="4253" w:type="dxa"/>
            <w:shd w:val="clear" w:color="auto" w:fill="auto"/>
          </w:tcPr>
          <w:p w14:paraId="5687C0E7" w14:textId="77777777" w:rsidR="001D121B" w:rsidRPr="0015051F" w:rsidRDefault="001D121B" w:rsidP="00D70793">
            <w:pPr>
              <w:spacing w:line="220" w:lineRule="atLeast"/>
              <w:rPr>
                <w:rFonts w:cs="Calibri"/>
                <w:sz w:val="22"/>
                <w:szCs w:val="22"/>
              </w:rPr>
            </w:pPr>
            <w:r w:rsidRPr="0015051F">
              <w:rPr>
                <w:rFonts w:cs="Calibri"/>
                <w:sz w:val="22"/>
                <w:szCs w:val="22"/>
              </w:rPr>
              <w:t>Fantino y Cotuí</w:t>
            </w:r>
          </w:p>
        </w:tc>
      </w:tr>
    </w:tbl>
    <w:p w14:paraId="6CE0E42E" w14:textId="77777777" w:rsidR="00BF2529" w:rsidRPr="00B6562C" w:rsidRDefault="00BF2529" w:rsidP="00E61711">
      <w:pPr>
        <w:tabs>
          <w:tab w:val="left" w:pos="-1440"/>
        </w:tabs>
        <w:spacing w:after="120"/>
        <w:jc w:val="both"/>
        <w:rPr>
          <w:rFonts w:ascii="Times New Roman" w:hAnsi="Times New Roman" w:cs="Times New Roman"/>
          <w:b/>
        </w:rPr>
      </w:pPr>
    </w:p>
    <w:p w14:paraId="4E472313" w14:textId="19DA75AB" w:rsidR="00580ADE" w:rsidRPr="00B6562C" w:rsidRDefault="00580ADE" w:rsidP="00580ADE">
      <w:pPr>
        <w:tabs>
          <w:tab w:val="left" w:pos="-1440"/>
        </w:tabs>
        <w:jc w:val="both"/>
        <w:rPr>
          <w:rFonts w:ascii="Times New Roman" w:hAnsi="Times New Roman" w:cs="Times New Roman"/>
          <w:b/>
        </w:rPr>
      </w:pPr>
      <w:r w:rsidRPr="00B6562C">
        <w:rPr>
          <w:rFonts w:ascii="Times New Roman" w:hAnsi="Times New Roman" w:cs="Times New Roman"/>
          <w:b/>
        </w:rPr>
        <w:t>V</w:t>
      </w:r>
      <w:r w:rsidR="00BF2529" w:rsidRPr="00B6562C">
        <w:rPr>
          <w:rFonts w:ascii="Times New Roman" w:hAnsi="Times New Roman" w:cs="Times New Roman"/>
          <w:b/>
        </w:rPr>
        <w:t>I</w:t>
      </w:r>
      <w:r w:rsidRPr="00B6562C">
        <w:rPr>
          <w:rFonts w:ascii="Times New Roman" w:hAnsi="Times New Roman" w:cs="Times New Roman"/>
          <w:b/>
        </w:rPr>
        <w:t>II. Calificaciones requeridas</w:t>
      </w:r>
      <w:r w:rsidR="00FD2FD3" w:rsidRPr="00B6562C">
        <w:rPr>
          <w:rFonts w:ascii="Times New Roman" w:hAnsi="Times New Roman" w:cs="Times New Roman"/>
          <w:b/>
        </w:rPr>
        <w:t>:</w:t>
      </w:r>
    </w:p>
    <w:p w14:paraId="1A1961E0" w14:textId="562C6CA4" w:rsidR="00580ADE" w:rsidRPr="00B6562C" w:rsidRDefault="00352038" w:rsidP="001D242A">
      <w:pPr>
        <w:numPr>
          <w:ilvl w:val="0"/>
          <w:numId w:val="2"/>
        </w:numPr>
        <w:tabs>
          <w:tab w:val="left" w:pos="-1440"/>
        </w:tabs>
        <w:spacing w:after="120"/>
        <w:jc w:val="both"/>
        <w:rPr>
          <w:rFonts w:ascii="Times New Roman" w:hAnsi="Times New Roman" w:cs="Times New Roman"/>
          <w:lang w:val="es-DO"/>
        </w:rPr>
      </w:pPr>
      <w:r w:rsidRPr="00B6562C">
        <w:rPr>
          <w:rFonts w:ascii="Times New Roman" w:hAnsi="Times New Roman" w:cs="Times New Roman"/>
          <w:lang w:val="es-DO"/>
        </w:rPr>
        <w:t>Grado académico</w:t>
      </w:r>
      <w:r w:rsidR="002F6696" w:rsidRPr="00B6562C">
        <w:rPr>
          <w:rFonts w:ascii="Times New Roman" w:hAnsi="Times New Roman" w:cs="Times New Roman"/>
          <w:lang w:val="es-DO"/>
        </w:rPr>
        <w:t xml:space="preserve"> en disciplinas relacionadas con medio ambiente y manejo de recursos naturales</w:t>
      </w:r>
      <w:r w:rsidR="00355AFF" w:rsidRPr="00B6562C">
        <w:rPr>
          <w:rFonts w:ascii="Times New Roman" w:hAnsi="Times New Roman" w:cs="Times New Roman"/>
          <w:lang w:val="es-DO"/>
        </w:rPr>
        <w:t xml:space="preserve"> (</w:t>
      </w:r>
      <w:r w:rsidR="00B461A3" w:rsidRPr="00B6562C">
        <w:rPr>
          <w:rFonts w:ascii="Times New Roman" w:hAnsi="Times New Roman" w:cs="Times New Roman"/>
          <w:lang w:val="es-DO"/>
        </w:rPr>
        <w:t xml:space="preserve">deseable </w:t>
      </w:r>
      <w:r w:rsidR="00355AFF" w:rsidRPr="00B6562C">
        <w:rPr>
          <w:rFonts w:ascii="Times New Roman" w:hAnsi="Times New Roman" w:cs="Times New Roman"/>
          <w:lang w:val="es-DO"/>
        </w:rPr>
        <w:t>maestría)</w:t>
      </w:r>
      <w:r w:rsidR="00B461A3" w:rsidRPr="00B6562C">
        <w:rPr>
          <w:rFonts w:ascii="Times New Roman" w:hAnsi="Times New Roman" w:cs="Times New Roman"/>
          <w:lang w:val="es-DO"/>
        </w:rPr>
        <w:t>.</w:t>
      </w:r>
    </w:p>
    <w:p w14:paraId="42E68987" w14:textId="164D884A" w:rsidR="00B461A3" w:rsidRPr="00B6562C" w:rsidRDefault="00B461A3" w:rsidP="001D242A">
      <w:pPr>
        <w:numPr>
          <w:ilvl w:val="0"/>
          <w:numId w:val="2"/>
        </w:numPr>
        <w:tabs>
          <w:tab w:val="left" w:pos="-1440"/>
        </w:tabs>
        <w:spacing w:after="120"/>
        <w:jc w:val="both"/>
        <w:rPr>
          <w:rFonts w:ascii="Times New Roman" w:hAnsi="Times New Roman" w:cs="Times New Roman"/>
        </w:rPr>
      </w:pPr>
      <w:r w:rsidRPr="00B6562C">
        <w:rPr>
          <w:rFonts w:ascii="Times New Roman" w:hAnsi="Times New Roman" w:cs="Times New Roman"/>
        </w:rPr>
        <w:t xml:space="preserve">Al menos </w:t>
      </w:r>
      <w:r w:rsidR="001D121B">
        <w:rPr>
          <w:rFonts w:ascii="Times New Roman" w:hAnsi="Times New Roman" w:cs="Times New Roman"/>
        </w:rPr>
        <w:t>5</w:t>
      </w:r>
      <w:r w:rsidR="000A5C63" w:rsidRPr="00B6562C">
        <w:rPr>
          <w:rFonts w:ascii="Times New Roman" w:hAnsi="Times New Roman" w:cs="Times New Roman"/>
        </w:rPr>
        <w:t xml:space="preserve"> experiencias vinculadas con temas ambientales y gestión basada en resultados</w:t>
      </w:r>
      <w:r w:rsidR="005E56D4" w:rsidRPr="00B6562C">
        <w:rPr>
          <w:rFonts w:ascii="Times New Roman" w:hAnsi="Times New Roman" w:cs="Times New Roman"/>
        </w:rPr>
        <w:t xml:space="preserve"> (preferiblemente en la República </w:t>
      </w:r>
      <w:r w:rsidR="001D242A" w:rsidRPr="00B6562C">
        <w:rPr>
          <w:rFonts w:ascii="Times New Roman" w:hAnsi="Times New Roman" w:cs="Times New Roman"/>
        </w:rPr>
        <w:t>D</w:t>
      </w:r>
      <w:r w:rsidR="005E56D4" w:rsidRPr="00B6562C">
        <w:rPr>
          <w:rFonts w:ascii="Times New Roman" w:hAnsi="Times New Roman" w:cs="Times New Roman"/>
        </w:rPr>
        <w:t>ominicana)</w:t>
      </w:r>
    </w:p>
    <w:p w14:paraId="6823D64E" w14:textId="77777777" w:rsidR="001D242A" w:rsidRPr="00B6562C" w:rsidRDefault="001D242A" w:rsidP="001D242A">
      <w:pPr>
        <w:numPr>
          <w:ilvl w:val="0"/>
          <w:numId w:val="2"/>
        </w:numPr>
        <w:tabs>
          <w:tab w:val="left" w:pos="-1440"/>
        </w:tabs>
        <w:spacing w:after="120"/>
        <w:jc w:val="both"/>
        <w:rPr>
          <w:rFonts w:ascii="Times New Roman" w:hAnsi="Times New Roman" w:cs="Times New Roman"/>
        </w:rPr>
      </w:pPr>
      <w:r w:rsidRPr="00B6562C">
        <w:rPr>
          <w:rFonts w:ascii="Times New Roman" w:hAnsi="Times New Roman" w:cs="Times New Roman"/>
        </w:rPr>
        <w:t>Experiencia con agencias de cooperación, en particular el Sistema de Naciones Unidas;</w:t>
      </w:r>
    </w:p>
    <w:p w14:paraId="524F9394" w14:textId="70056DC0" w:rsidR="00A71B13" w:rsidRPr="00B6562C" w:rsidRDefault="00421171" w:rsidP="001D242A">
      <w:pPr>
        <w:numPr>
          <w:ilvl w:val="0"/>
          <w:numId w:val="2"/>
        </w:numPr>
        <w:tabs>
          <w:tab w:val="left" w:pos="-1440"/>
        </w:tabs>
        <w:spacing w:after="120"/>
        <w:jc w:val="both"/>
        <w:rPr>
          <w:rFonts w:ascii="Times New Roman" w:hAnsi="Times New Roman" w:cs="Times New Roman"/>
        </w:rPr>
      </w:pPr>
      <w:r w:rsidRPr="00B6562C">
        <w:rPr>
          <w:rFonts w:ascii="Times New Roman" w:hAnsi="Times New Roman" w:cs="Times New Roman"/>
        </w:rPr>
        <w:t>Es altamente deseable contar con c</w:t>
      </w:r>
      <w:r w:rsidR="00A71B13" w:rsidRPr="00B6562C">
        <w:rPr>
          <w:rFonts w:ascii="Times New Roman" w:hAnsi="Times New Roman" w:cs="Times New Roman"/>
        </w:rPr>
        <w:t>onocimiento de la Agenda 2030 de desarrollo sostenible y su operativización a nivel nacional</w:t>
      </w:r>
      <w:r w:rsidR="00DA5D31" w:rsidRPr="00B6562C">
        <w:rPr>
          <w:rFonts w:ascii="Times New Roman" w:hAnsi="Times New Roman" w:cs="Times New Roman"/>
        </w:rPr>
        <w:t>;</w:t>
      </w:r>
    </w:p>
    <w:p w14:paraId="76BA6A88" w14:textId="56099A76" w:rsidR="00580ADE" w:rsidRPr="00B6562C" w:rsidRDefault="00580ADE" w:rsidP="001D242A">
      <w:pPr>
        <w:numPr>
          <w:ilvl w:val="0"/>
          <w:numId w:val="2"/>
        </w:numPr>
        <w:tabs>
          <w:tab w:val="left" w:pos="-1440"/>
        </w:tabs>
        <w:spacing w:after="120"/>
        <w:jc w:val="both"/>
        <w:rPr>
          <w:rFonts w:ascii="Times New Roman" w:hAnsi="Times New Roman" w:cs="Times New Roman"/>
          <w:b/>
        </w:rPr>
      </w:pPr>
      <w:r w:rsidRPr="00B6562C">
        <w:rPr>
          <w:rFonts w:ascii="Times New Roman" w:hAnsi="Times New Roman" w:cs="Times New Roman"/>
        </w:rPr>
        <w:t>Dominio de instrumentos básicos computacionales (procesadora de palabras, hoja de datos, comunicación electrónica, internet)</w:t>
      </w:r>
      <w:r w:rsidR="00DA5D31" w:rsidRPr="00B6562C">
        <w:rPr>
          <w:rFonts w:ascii="Times New Roman" w:hAnsi="Times New Roman" w:cs="Times New Roman"/>
        </w:rPr>
        <w:t>;</w:t>
      </w:r>
      <w:r w:rsidRPr="00B6562C">
        <w:rPr>
          <w:rFonts w:ascii="Times New Roman" w:hAnsi="Times New Roman" w:cs="Times New Roman"/>
          <w:b/>
        </w:rPr>
        <w:tab/>
      </w:r>
    </w:p>
    <w:p w14:paraId="6895D705" w14:textId="49777AB5" w:rsidR="00580ADE" w:rsidRPr="00B6562C" w:rsidRDefault="00580ADE" w:rsidP="001D242A">
      <w:pPr>
        <w:numPr>
          <w:ilvl w:val="0"/>
          <w:numId w:val="2"/>
        </w:numPr>
        <w:tabs>
          <w:tab w:val="left" w:pos="-1440"/>
        </w:tabs>
        <w:spacing w:after="120"/>
        <w:jc w:val="both"/>
        <w:rPr>
          <w:rFonts w:ascii="Times New Roman" w:hAnsi="Times New Roman" w:cs="Times New Roman"/>
        </w:rPr>
      </w:pPr>
      <w:r w:rsidRPr="00B6562C">
        <w:rPr>
          <w:rFonts w:ascii="Times New Roman" w:hAnsi="Times New Roman" w:cs="Times New Roman"/>
        </w:rPr>
        <w:t>Nivel avanzado de inglés</w:t>
      </w:r>
      <w:r w:rsidR="00DA5D31" w:rsidRPr="00B6562C">
        <w:rPr>
          <w:rFonts w:ascii="Times New Roman" w:hAnsi="Times New Roman" w:cs="Times New Roman"/>
        </w:rPr>
        <w:t>;</w:t>
      </w:r>
    </w:p>
    <w:p w14:paraId="5766BF25" w14:textId="504685FD" w:rsidR="00580ADE" w:rsidRPr="00B6562C" w:rsidRDefault="00580ADE" w:rsidP="001D242A">
      <w:pPr>
        <w:numPr>
          <w:ilvl w:val="0"/>
          <w:numId w:val="2"/>
        </w:numPr>
        <w:tabs>
          <w:tab w:val="left" w:pos="-1440"/>
        </w:tabs>
        <w:spacing w:after="120"/>
        <w:jc w:val="both"/>
        <w:rPr>
          <w:rFonts w:ascii="Times New Roman" w:hAnsi="Times New Roman" w:cs="Times New Roman"/>
        </w:rPr>
      </w:pPr>
      <w:r w:rsidRPr="00B6562C">
        <w:rPr>
          <w:rFonts w:ascii="Times New Roman" w:hAnsi="Times New Roman" w:cs="Times New Roman"/>
        </w:rPr>
        <w:t>Habilidad de comunicación interpersonal</w:t>
      </w:r>
      <w:r w:rsidR="00DA5D31" w:rsidRPr="00B6562C">
        <w:rPr>
          <w:rFonts w:ascii="Times New Roman" w:hAnsi="Times New Roman" w:cs="Times New Roman"/>
        </w:rPr>
        <w:t>;</w:t>
      </w:r>
    </w:p>
    <w:p w14:paraId="1BBFD09A" w14:textId="3C8F0923" w:rsidR="00580ADE" w:rsidRPr="00B6562C" w:rsidRDefault="00580ADE" w:rsidP="001D242A">
      <w:pPr>
        <w:numPr>
          <w:ilvl w:val="0"/>
          <w:numId w:val="2"/>
        </w:numPr>
        <w:tabs>
          <w:tab w:val="left" w:pos="-1440"/>
        </w:tabs>
        <w:spacing w:after="120"/>
        <w:jc w:val="both"/>
        <w:rPr>
          <w:rFonts w:ascii="Times New Roman" w:hAnsi="Times New Roman" w:cs="Times New Roman"/>
        </w:rPr>
      </w:pPr>
      <w:r w:rsidRPr="00B6562C">
        <w:rPr>
          <w:rFonts w:ascii="Times New Roman" w:hAnsi="Times New Roman" w:cs="Times New Roman"/>
        </w:rPr>
        <w:t>Capacidad de trabajo en equipo</w:t>
      </w:r>
      <w:r w:rsidR="00DA5D31" w:rsidRPr="00B6562C">
        <w:rPr>
          <w:rFonts w:ascii="Times New Roman" w:hAnsi="Times New Roman" w:cs="Times New Roman"/>
        </w:rPr>
        <w:t>;</w:t>
      </w:r>
    </w:p>
    <w:p w14:paraId="28B2557A" w14:textId="7B1B7A91" w:rsidR="00580ADE" w:rsidRPr="00B6562C" w:rsidRDefault="00580ADE" w:rsidP="001D242A">
      <w:pPr>
        <w:numPr>
          <w:ilvl w:val="0"/>
          <w:numId w:val="2"/>
        </w:numPr>
        <w:tabs>
          <w:tab w:val="left" w:pos="-1440"/>
        </w:tabs>
        <w:spacing w:after="120"/>
        <w:jc w:val="both"/>
        <w:rPr>
          <w:rFonts w:ascii="Times New Roman" w:hAnsi="Times New Roman" w:cs="Times New Roman"/>
          <w:lang w:val="es-DO"/>
        </w:rPr>
      </w:pPr>
      <w:r w:rsidRPr="00B6562C">
        <w:rPr>
          <w:rFonts w:ascii="Times New Roman" w:hAnsi="Times New Roman" w:cs="Times New Roman"/>
          <w:lang w:val="es-DO"/>
        </w:rPr>
        <w:t>Capacidad analítica, alta confidencialidad y responsabilidad, habilidad de expresar ideas claras y concisas tanto verbal como escrito</w:t>
      </w:r>
      <w:r w:rsidR="00DA5D31" w:rsidRPr="00B6562C">
        <w:rPr>
          <w:rFonts w:ascii="Times New Roman" w:hAnsi="Times New Roman" w:cs="Times New Roman"/>
          <w:lang w:val="es-DO"/>
        </w:rPr>
        <w:t>;</w:t>
      </w:r>
    </w:p>
    <w:p w14:paraId="5C85DF44" w14:textId="171B1955" w:rsidR="00580ADE" w:rsidRPr="00B6562C" w:rsidRDefault="00580ADE" w:rsidP="001D242A">
      <w:pPr>
        <w:numPr>
          <w:ilvl w:val="0"/>
          <w:numId w:val="2"/>
        </w:numPr>
        <w:tabs>
          <w:tab w:val="left" w:pos="-1440"/>
        </w:tabs>
        <w:spacing w:after="120"/>
        <w:jc w:val="both"/>
        <w:rPr>
          <w:rFonts w:ascii="Times New Roman" w:hAnsi="Times New Roman" w:cs="Times New Roman"/>
          <w:lang w:val="es-DO"/>
        </w:rPr>
      </w:pPr>
      <w:r w:rsidRPr="00B6562C">
        <w:rPr>
          <w:rFonts w:ascii="Times New Roman" w:hAnsi="Times New Roman" w:cs="Times New Roman"/>
          <w:lang w:val="es-DO"/>
        </w:rPr>
        <w:t>Excelentes relaciones humanas y actitud de servicio al cliente</w:t>
      </w:r>
      <w:r w:rsidR="00DA5D31" w:rsidRPr="00B6562C">
        <w:rPr>
          <w:rFonts w:ascii="Times New Roman" w:hAnsi="Times New Roman" w:cs="Times New Roman"/>
          <w:lang w:val="es-DO"/>
        </w:rPr>
        <w:t>;</w:t>
      </w:r>
    </w:p>
    <w:p w14:paraId="16D32B84" w14:textId="071E20F3" w:rsidR="00580ADE" w:rsidRPr="00B6562C" w:rsidRDefault="00580ADE" w:rsidP="001D242A">
      <w:pPr>
        <w:numPr>
          <w:ilvl w:val="0"/>
          <w:numId w:val="2"/>
        </w:numPr>
        <w:tabs>
          <w:tab w:val="left" w:pos="-1440"/>
        </w:tabs>
        <w:spacing w:after="120"/>
        <w:jc w:val="both"/>
        <w:rPr>
          <w:rFonts w:ascii="Times New Roman" w:hAnsi="Times New Roman" w:cs="Times New Roman"/>
        </w:rPr>
      </w:pPr>
      <w:r w:rsidRPr="00B6562C">
        <w:rPr>
          <w:rFonts w:ascii="Times New Roman" w:hAnsi="Times New Roman" w:cs="Times New Roman"/>
        </w:rPr>
        <w:t>Buena capacidad de redacción y producción de documentos escritos</w:t>
      </w:r>
      <w:r w:rsidR="00DA5D31" w:rsidRPr="00B6562C">
        <w:rPr>
          <w:rFonts w:ascii="Times New Roman" w:hAnsi="Times New Roman" w:cs="Times New Roman"/>
        </w:rPr>
        <w:t>;</w:t>
      </w:r>
    </w:p>
    <w:p w14:paraId="3E392B70" w14:textId="5502E9CA" w:rsidR="00580ADE" w:rsidRPr="00B6562C" w:rsidRDefault="00580ADE" w:rsidP="001D242A">
      <w:pPr>
        <w:numPr>
          <w:ilvl w:val="0"/>
          <w:numId w:val="2"/>
        </w:numPr>
        <w:tabs>
          <w:tab w:val="left" w:pos="-1440"/>
        </w:tabs>
        <w:spacing w:after="120"/>
        <w:jc w:val="both"/>
        <w:rPr>
          <w:rFonts w:ascii="Times New Roman" w:hAnsi="Times New Roman" w:cs="Times New Roman"/>
        </w:rPr>
      </w:pPr>
      <w:r w:rsidRPr="00B6562C">
        <w:rPr>
          <w:rFonts w:ascii="Times New Roman" w:hAnsi="Times New Roman" w:cs="Times New Roman"/>
        </w:rPr>
        <w:t>Disponibilidad para el trabajo interdisciplinario en ambientes multiculturales, con alta flexibilidad y capacidad de adaptación a situaciones cambiantes</w:t>
      </w:r>
      <w:r w:rsidR="00DA5D31" w:rsidRPr="00B6562C">
        <w:rPr>
          <w:rFonts w:ascii="Times New Roman" w:hAnsi="Times New Roman" w:cs="Times New Roman"/>
        </w:rPr>
        <w:t>.</w:t>
      </w:r>
    </w:p>
    <w:p w14:paraId="32444247" w14:textId="75C4D9FD" w:rsidR="00580ADE" w:rsidRDefault="00580ADE" w:rsidP="00E61711">
      <w:pPr>
        <w:tabs>
          <w:tab w:val="left" w:pos="-1440"/>
        </w:tabs>
        <w:spacing w:after="120"/>
        <w:jc w:val="both"/>
        <w:rPr>
          <w:rFonts w:ascii="Times New Roman" w:hAnsi="Times New Roman" w:cs="Times New Roman"/>
          <w:lang w:val="es-DO"/>
        </w:rPr>
      </w:pPr>
    </w:p>
    <w:p w14:paraId="1BEBAF74" w14:textId="3BB6C863" w:rsidR="00B8351E" w:rsidRDefault="00B8351E" w:rsidP="00E61711">
      <w:pPr>
        <w:tabs>
          <w:tab w:val="left" w:pos="-1440"/>
        </w:tabs>
        <w:spacing w:after="120"/>
        <w:jc w:val="both"/>
        <w:rPr>
          <w:rFonts w:ascii="Times New Roman" w:hAnsi="Times New Roman" w:cs="Times New Roman"/>
          <w:lang w:val="es-DO"/>
        </w:rPr>
      </w:pPr>
    </w:p>
    <w:p w14:paraId="6E32503C" w14:textId="1B3CF893" w:rsidR="00B8351E" w:rsidRDefault="00B8351E" w:rsidP="00E61711">
      <w:pPr>
        <w:tabs>
          <w:tab w:val="left" w:pos="-1440"/>
        </w:tabs>
        <w:spacing w:after="120"/>
        <w:jc w:val="both"/>
        <w:rPr>
          <w:rFonts w:ascii="Times New Roman" w:hAnsi="Times New Roman" w:cs="Times New Roman"/>
          <w:lang w:val="es-DO"/>
        </w:rPr>
      </w:pPr>
    </w:p>
    <w:p w14:paraId="0D18CCBD" w14:textId="0B731E05" w:rsidR="00B8351E" w:rsidRDefault="00B8351E" w:rsidP="00E61711">
      <w:pPr>
        <w:tabs>
          <w:tab w:val="left" w:pos="-1440"/>
        </w:tabs>
        <w:spacing w:after="120"/>
        <w:jc w:val="both"/>
        <w:rPr>
          <w:rFonts w:ascii="Times New Roman" w:hAnsi="Times New Roman" w:cs="Times New Roman"/>
          <w:lang w:val="es-DO"/>
        </w:rPr>
      </w:pPr>
    </w:p>
    <w:p w14:paraId="5A535180" w14:textId="77777777" w:rsidR="00B8351E" w:rsidRPr="00B6562C" w:rsidRDefault="00B8351E" w:rsidP="00E61711">
      <w:pPr>
        <w:tabs>
          <w:tab w:val="left" w:pos="-1440"/>
        </w:tabs>
        <w:spacing w:after="120"/>
        <w:jc w:val="both"/>
        <w:rPr>
          <w:rFonts w:ascii="Times New Roman" w:hAnsi="Times New Roman" w:cs="Times New Roman"/>
          <w:lang w:val="es-DO"/>
        </w:rPr>
      </w:pPr>
    </w:p>
    <w:p w14:paraId="7FAF686B" w14:textId="1ED0CCFA" w:rsidR="00580ADE" w:rsidRPr="00B6562C" w:rsidRDefault="00580ADE" w:rsidP="00580ADE">
      <w:pPr>
        <w:tabs>
          <w:tab w:val="left" w:pos="-1440"/>
        </w:tabs>
        <w:jc w:val="both"/>
        <w:rPr>
          <w:rFonts w:ascii="Times New Roman" w:hAnsi="Times New Roman" w:cs="Times New Roman"/>
          <w:b/>
        </w:rPr>
      </w:pPr>
      <w:r w:rsidRPr="00B6562C">
        <w:rPr>
          <w:rFonts w:ascii="Times New Roman" w:hAnsi="Times New Roman" w:cs="Times New Roman"/>
          <w:b/>
        </w:rPr>
        <w:lastRenderedPageBreak/>
        <w:t>I</w:t>
      </w:r>
      <w:r w:rsidR="00BF2529" w:rsidRPr="00B6562C">
        <w:rPr>
          <w:rFonts w:ascii="Times New Roman" w:hAnsi="Times New Roman" w:cs="Times New Roman"/>
          <w:b/>
        </w:rPr>
        <w:t>X</w:t>
      </w:r>
      <w:r w:rsidRPr="00B6562C">
        <w:rPr>
          <w:rFonts w:ascii="Times New Roman" w:hAnsi="Times New Roman" w:cs="Times New Roman"/>
          <w:b/>
        </w:rPr>
        <w:t xml:space="preserve">. Honorarios y Forma de pago de la consultoría: </w:t>
      </w:r>
    </w:p>
    <w:p w14:paraId="0745CDC8" w14:textId="02FF4871" w:rsidR="00580ADE" w:rsidRPr="00B6562C" w:rsidRDefault="00C22E47" w:rsidP="00580ADE">
      <w:pPr>
        <w:tabs>
          <w:tab w:val="left" w:pos="-1440"/>
        </w:tabs>
        <w:jc w:val="both"/>
        <w:rPr>
          <w:rFonts w:ascii="Times New Roman" w:hAnsi="Times New Roman" w:cs="Times New Roman"/>
        </w:rPr>
      </w:pPr>
      <w:r w:rsidRPr="00B6562C">
        <w:rPr>
          <w:rFonts w:ascii="Times New Roman" w:hAnsi="Times New Roman" w:cs="Times New Roman"/>
        </w:rPr>
        <w:t>I</w:t>
      </w:r>
      <w:r w:rsidR="00BF2529" w:rsidRPr="00B6562C">
        <w:rPr>
          <w:rFonts w:ascii="Times New Roman" w:hAnsi="Times New Roman" w:cs="Times New Roman"/>
        </w:rPr>
        <w:t>X</w:t>
      </w:r>
      <w:r w:rsidRPr="00B6562C">
        <w:rPr>
          <w:rFonts w:ascii="Times New Roman" w:hAnsi="Times New Roman" w:cs="Times New Roman"/>
        </w:rPr>
        <w:t>.1</w:t>
      </w:r>
      <w:r w:rsidR="00E42BFB" w:rsidRPr="00B6562C">
        <w:rPr>
          <w:rFonts w:ascii="Times New Roman" w:hAnsi="Times New Roman" w:cs="Times New Roman"/>
        </w:rPr>
        <w:t xml:space="preserve">- </w:t>
      </w:r>
      <w:r w:rsidR="00580ADE" w:rsidRPr="00B6562C">
        <w:rPr>
          <w:rFonts w:ascii="Times New Roman" w:hAnsi="Times New Roman" w:cs="Times New Roman"/>
        </w:rPr>
        <w:t xml:space="preserve">El monto a pagar por esta consultoría y su forma de </w:t>
      </w:r>
      <w:r w:rsidR="002D1EE0" w:rsidRPr="00B6562C">
        <w:rPr>
          <w:rFonts w:ascii="Times New Roman" w:hAnsi="Times New Roman" w:cs="Times New Roman"/>
        </w:rPr>
        <w:t>pago</w:t>
      </w:r>
      <w:r w:rsidR="00580ADE" w:rsidRPr="00B6562C">
        <w:rPr>
          <w:rFonts w:ascii="Times New Roman" w:hAnsi="Times New Roman" w:cs="Times New Roman"/>
        </w:rPr>
        <w:t xml:space="preserve"> estará </w:t>
      </w:r>
      <w:r w:rsidR="002D1EE0" w:rsidRPr="00B6562C">
        <w:rPr>
          <w:rFonts w:ascii="Times New Roman" w:hAnsi="Times New Roman" w:cs="Times New Roman"/>
        </w:rPr>
        <w:t>previsto</w:t>
      </w:r>
      <w:r w:rsidR="00580ADE" w:rsidRPr="00B6562C">
        <w:rPr>
          <w:rFonts w:ascii="Times New Roman" w:hAnsi="Times New Roman" w:cs="Times New Roman"/>
        </w:rPr>
        <w:t xml:space="preserve"> en el contrato de servicio que habrá de redactarse y firmarse de común acuerdo siguiendo el criterio siguiente:</w:t>
      </w:r>
    </w:p>
    <w:p w14:paraId="168AD971" w14:textId="77777777" w:rsidR="00E61711" w:rsidRPr="00B6562C" w:rsidRDefault="00E61711" w:rsidP="00580ADE">
      <w:pPr>
        <w:tabs>
          <w:tab w:val="left" w:pos="-1440"/>
        </w:tabs>
        <w:jc w:val="both"/>
        <w:rPr>
          <w:rFonts w:ascii="Times New Roman" w:hAnsi="Times New Roman" w:cs="Times New Roman"/>
        </w:rPr>
      </w:pPr>
    </w:p>
    <w:p w14:paraId="13F4320C" w14:textId="3AAEBD7F" w:rsidR="00C22E47" w:rsidRPr="00B6562C" w:rsidRDefault="00C22E47" w:rsidP="00C22E47">
      <w:pPr>
        <w:pStyle w:val="ListParagraph"/>
        <w:numPr>
          <w:ilvl w:val="0"/>
          <w:numId w:val="7"/>
        </w:numPr>
        <w:suppressAutoHyphens/>
        <w:contextualSpacing w:val="0"/>
        <w:jc w:val="both"/>
        <w:rPr>
          <w:rFonts w:ascii="Times New Roman" w:hAnsi="Times New Roman" w:cs="Times New Roman"/>
        </w:rPr>
      </w:pPr>
      <w:r w:rsidRPr="00B6562C">
        <w:rPr>
          <w:rFonts w:ascii="Times New Roman" w:hAnsi="Times New Roman" w:cs="Times New Roman"/>
          <w:u w:val="single"/>
        </w:rPr>
        <w:t>Pago</w:t>
      </w:r>
      <w:r w:rsidR="00FA7ED9" w:rsidRPr="00B6562C">
        <w:rPr>
          <w:rFonts w:ascii="Times New Roman" w:hAnsi="Times New Roman" w:cs="Times New Roman"/>
          <w:u w:val="single"/>
        </w:rPr>
        <w:t xml:space="preserve"> 1</w:t>
      </w:r>
      <w:r w:rsidRPr="00B6562C">
        <w:rPr>
          <w:rFonts w:ascii="Times New Roman" w:hAnsi="Times New Roman" w:cs="Times New Roman"/>
        </w:rPr>
        <w:t xml:space="preserve">: </w:t>
      </w:r>
      <w:r w:rsidR="002C3C51">
        <w:rPr>
          <w:rFonts w:ascii="Times New Roman" w:hAnsi="Times New Roman" w:cs="Times New Roman"/>
          <w:b/>
          <w:bCs/>
        </w:rPr>
        <w:t>40</w:t>
      </w:r>
      <w:r w:rsidRPr="00B6562C">
        <w:rPr>
          <w:rFonts w:ascii="Times New Roman" w:hAnsi="Times New Roman" w:cs="Times New Roman"/>
          <w:b/>
          <w:bCs/>
        </w:rPr>
        <w:t>%</w:t>
      </w:r>
      <w:r w:rsidRPr="00B6562C">
        <w:rPr>
          <w:rFonts w:ascii="Times New Roman" w:hAnsi="Times New Roman" w:cs="Times New Roman"/>
        </w:rPr>
        <w:t xml:space="preserve"> de los honorarios contra entrega y aceptación del </w:t>
      </w:r>
      <w:r w:rsidRPr="00B6562C">
        <w:rPr>
          <w:rFonts w:ascii="Times New Roman" w:hAnsi="Times New Roman" w:cs="Times New Roman"/>
          <w:b/>
        </w:rPr>
        <w:t>Producto 1</w:t>
      </w:r>
      <w:r w:rsidRPr="00B6562C">
        <w:rPr>
          <w:rFonts w:ascii="Times New Roman" w:hAnsi="Times New Roman" w:cs="Times New Roman"/>
        </w:rPr>
        <w:t xml:space="preserve">. </w:t>
      </w:r>
    </w:p>
    <w:p w14:paraId="1A30B946" w14:textId="3D20C1E0" w:rsidR="00C22E47" w:rsidRPr="00B6562C" w:rsidRDefault="00C22E47" w:rsidP="00C22E47">
      <w:pPr>
        <w:pStyle w:val="ListParagraph"/>
        <w:numPr>
          <w:ilvl w:val="0"/>
          <w:numId w:val="7"/>
        </w:numPr>
        <w:suppressAutoHyphens/>
        <w:contextualSpacing w:val="0"/>
        <w:jc w:val="both"/>
        <w:rPr>
          <w:rFonts w:ascii="Times New Roman" w:hAnsi="Times New Roman" w:cs="Times New Roman"/>
        </w:rPr>
      </w:pPr>
      <w:r w:rsidRPr="00B6562C">
        <w:rPr>
          <w:rFonts w:ascii="Times New Roman" w:hAnsi="Times New Roman" w:cs="Times New Roman"/>
          <w:u w:val="single"/>
        </w:rPr>
        <w:t>Pago</w:t>
      </w:r>
      <w:r w:rsidR="00FA7ED9" w:rsidRPr="00B6562C">
        <w:rPr>
          <w:rFonts w:ascii="Times New Roman" w:hAnsi="Times New Roman" w:cs="Times New Roman"/>
          <w:u w:val="single"/>
        </w:rPr>
        <w:t xml:space="preserve"> 2</w:t>
      </w:r>
      <w:r w:rsidRPr="00B6562C">
        <w:rPr>
          <w:rFonts w:ascii="Times New Roman" w:hAnsi="Times New Roman" w:cs="Times New Roman"/>
        </w:rPr>
        <w:t xml:space="preserve">: </w:t>
      </w:r>
      <w:r w:rsidR="002C3C51">
        <w:rPr>
          <w:rFonts w:ascii="Times New Roman" w:hAnsi="Times New Roman" w:cs="Times New Roman"/>
          <w:b/>
          <w:bCs/>
        </w:rPr>
        <w:t>60</w:t>
      </w:r>
      <w:r w:rsidRPr="00B6562C">
        <w:rPr>
          <w:rFonts w:ascii="Times New Roman" w:hAnsi="Times New Roman" w:cs="Times New Roman"/>
          <w:b/>
          <w:bCs/>
        </w:rPr>
        <w:t>%</w:t>
      </w:r>
      <w:r w:rsidRPr="00B6562C">
        <w:rPr>
          <w:rFonts w:ascii="Times New Roman" w:hAnsi="Times New Roman" w:cs="Times New Roman"/>
        </w:rPr>
        <w:t xml:space="preserve"> de los honorarios contra entrega y aceptación del </w:t>
      </w:r>
      <w:r w:rsidRPr="00B6562C">
        <w:rPr>
          <w:rFonts w:ascii="Times New Roman" w:hAnsi="Times New Roman" w:cs="Times New Roman"/>
          <w:b/>
        </w:rPr>
        <w:t>Producto 2</w:t>
      </w:r>
      <w:r w:rsidRPr="00B6562C">
        <w:rPr>
          <w:rFonts w:ascii="Times New Roman" w:hAnsi="Times New Roman" w:cs="Times New Roman"/>
        </w:rPr>
        <w:t>.</w:t>
      </w:r>
    </w:p>
    <w:p w14:paraId="3CFEB912" w14:textId="0E5B4183" w:rsidR="00042A4A" w:rsidRDefault="00E72AFB" w:rsidP="00E61711">
      <w:pPr>
        <w:tabs>
          <w:tab w:val="left" w:pos="-1440"/>
        </w:tabs>
        <w:spacing w:after="120"/>
        <w:jc w:val="both"/>
        <w:rPr>
          <w:rFonts w:ascii="Times New Roman" w:hAnsi="Times New Roman" w:cs="Times New Roman"/>
        </w:rPr>
      </w:pPr>
      <w:r w:rsidRPr="00B6562C">
        <w:rPr>
          <w:rFonts w:ascii="Times New Roman" w:hAnsi="Times New Roman" w:cs="Times New Roman"/>
        </w:rPr>
        <w:t>I</w:t>
      </w:r>
      <w:r w:rsidR="00BF2529" w:rsidRPr="00B6562C">
        <w:rPr>
          <w:rFonts w:ascii="Times New Roman" w:hAnsi="Times New Roman" w:cs="Times New Roman"/>
        </w:rPr>
        <w:t>X</w:t>
      </w:r>
      <w:r w:rsidRPr="00B6562C">
        <w:rPr>
          <w:rFonts w:ascii="Times New Roman" w:hAnsi="Times New Roman" w:cs="Times New Roman"/>
        </w:rPr>
        <w:t xml:space="preserve">.2- </w:t>
      </w:r>
      <w:r w:rsidR="00580ADE" w:rsidRPr="00B6562C">
        <w:rPr>
          <w:rFonts w:ascii="Times New Roman" w:hAnsi="Times New Roman" w:cs="Times New Roman"/>
        </w:rPr>
        <w:t xml:space="preserve">El precio propuesto debe incluir todos los gastos asociados a la ejecución del contrato. Cada pago responderá a determinado producto y/o resultado, sin los cuales no podrá hacerse ningún desembolso. Cada pago deberá estar precedido de una factura, la cual será suministrada por el consultor/a, con el correspondiente RNC y con las formalidades típicas de este tipo de servicio. </w:t>
      </w:r>
    </w:p>
    <w:p w14:paraId="2296FD3E" w14:textId="1D4C2551" w:rsidR="005A786D" w:rsidRPr="00B6562C" w:rsidRDefault="005A786D" w:rsidP="00E61711">
      <w:pPr>
        <w:tabs>
          <w:tab w:val="left" w:pos="-1440"/>
        </w:tabs>
        <w:spacing w:after="120"/>
        <w:jc w:val="both"/>
        <w:rPr>
          <w:rFonts w:ascii="Times New Roman" w:hAnsi="Times New Roman" w:cs="Times New Roman"/>
        </w:rPr>
      </w:pPr>
      <w:r>
        <w:rPr>
          <w:rFonts w:ascii="Times New Roman" w:hAnsi="Times New Roman" w:cs="Times New Roman"/>
        </w:rPr>
        <w:t>El o la consultora cubrirá los gastos de relacionados</w:t>
      </w:r>
      <w:r w:rsidR="00F62115">
        <w:rPr>
          <w:rFonts w:ascii="Times New Roman" w:hAnsi="Times New Roman" w:cs="Times New Roman"/>
        </w:rPr>
        <w:t xml:space="preserve"> con</w:t>
      </w:r>
      <w:r w:rsidR="00D72E17">
        <w:rPr>
          <w:rFonts w:ascii="Times New Roman" w:hAnsi="Times New Roman" w:cs="Times New Roman"/>
        </w:rPr>
        <w:t xml:space="preserve"> los</w:t>
      </w:r>
      <w:r>
        <w:rPr>
          <w:rFonts w:ascii="Times New Roman" w:hAnsi="Times New Roman" w:cs="Times New Roman"/>
        </w:rPr>
        <w:t xml:space="preserve"> </w:t>
      </w:r>
      <w:r w:rsidR="00E65034">
        <w:rPr>
          <w:rFonts w:ascii="Times New Roman" w:hAnsi="Times New Roman" w:cs="Times New Roman"/>
        </w:rPr>
        <w:t>talleres</w:t>
      </w:r>
      <w:r w:rsidR="000A6337">
        <w:rPr>
          <w:rFonts w:ascii="Times New Roman" w:hAnsi="Times New Roman" w:cs="Times New Roman"/>
        </w:rPr>
        <w:t>, incluyendo los gastos de movilidad a las comunidades.</w:t>
      </w:r>
      <w:r w:rsidR="00E65034">
        <w:rPr>
          <w:rFonts w:ascii="Times New Roman" w:hAnsi="Times New Roman" w:cs="Times New Roman"/>
        </w:rPr>
        <w:t xml:space="preserve"> </w:t>
      </w:r>
    </w:p>
    <w:p w14:paraId="10A76567" w14:textId="77777777" w:rsidR="00FA7ED9" w:rsidRPr="00B6562C" w:rsidRDefault="00FA7ED9" w:rsidP="00E61711">
      <w:pPr>
        <w:tabs>
          <w:tab w:val="left" w:pos="-1440"/>
        </w:tabs>
        <w:spacing w:after="120"/>
        <w:jc w:val="both"/>
        <w:rPr>
          <w:rFonts w:ascii="Times New Roman" w:hAnsi="Times New Roman" w:cs="Times New Roman"/>
        </w:rPr>
      </w:pPr>
    </w:p>
    <w:p w14:paraId="19B2C9F1" w14:textId="29BD5551" w:rsidR="00580ADE" w:rsidRPr="00B6562C" w:rsidRDefault="00723834" w:rsidP="00580ADE">
      <w:pPr>
        <w:jc w:val="both"/>
        <w:rPr>
          <w:rFonts w:ascii="Times New Roman" w:hAnsi="Times New Roman" w:cs="Times New Roman"/>
          <w:b/>
          <w:color w:val="000000"/>
          <w:lang w:val="es-AR"/>
        </w:rPr>
      </w:pPr>
      <w:r w:rsidRPr="00B6562C">
        <w:rPr>
          <w:rFonts w:ascii="Times New Roman" w:hAnsi="Times New Roman" w:cs="Times New Roman"/>
          <w:b/>
          <w:color w:val="000000"/>
          <w:lang w:val="es-AR"/>
        </w:rPr>
        <w:t>X</w:t>
      </w:r>
      <w:r w:rsidR="00580ADE" w:rsidRPr="00B6562C">
        <w:rPr>
          <w:rFonts w:ascii="Times New Roman" w:hAnsi="Times New Roman" w:cs="Times New Roman"/>
          <w:b/>
          <w:color w:val="000000"/>
          <w:lang w:val="es-AR"/>
        </w:rPr>
        <w:t>. Criterios de Evaluación de Propuestas</w:t>
      </w:r>
    </w:p>
    <w:p w14:paraId="7EBEE858" w14:textId="77777777" w:rsidR="00BF2529" w:rsidRPr="00B6562C" w:rsidRDefault="00BF2529" w:rsidP="00E61711">
      <w:pPr>
        <w:autoSpaceDE w:val="0"/>
        <w:autoSpaceDN w:val="0"/>
        <w:adjustRightInd w:val="0"/>
        <w:spacing w:after="120"/>
        <w:jc w:val="both"/>
        <w:rPr>
          <w:rFonts w:ascii="Times New Roman" w:eastAsia="Calibri" w:hAnsi="Times New Roman" w:cs="Times New Roman"/>
          <w:color w:val="000000"/>
        </w:rPr>
      </w:pPr>
      <w:r w:rsidRPr="00B6562C">
        <w:rPr>
          <w:rFonts w:ascii="Times New Roman" w:eastAsia="Calibri" w:hAnsi="Times New Roman" w:cs="Times New Roman"/>
          <w:color w:val="000000"/>
        </w:rPr>
        <w:t>PUNTAJE COMBINADO (PARA SERVICIOS DE CONSULTORÍA/PRODUCCIÓN INTELECTUAL)</w:t>
      </w:r>
    </w:p>
    <w:p w14:paraId="7AF9F040" w14:textId="7610E739" w:rsidR="00580ADE" w:rsidRPr="00B6562C" w:rsidRDefault="00723834" w:rsidP="00580ADE">
      <w:pPr>
        <w:spacing w:after="120"/>
        <w:jc w:val="both"/>
        <w:rPr>
          <w:rFonts w:ascii="Times New Roman" w:hAnsi="Times New Roman" w:cs="Times New Roman"/>
        </w:rPr>
      </w:pPr>
      <w:r w:rsidRPr="00B6562C">
        <w:rPr>
          <w:rFonts w:ascii="Times New Roman" w:hAnsi="Times New Roman" w:cs="Times New Roman"/>
          <w:lang w:val="es-AR"/>
        </w:rPr>
        <w:t xml:space="preserve">X.1- </w:t>
      </w:r>
      <w:r w:rsidR="00580ADE" w:rsidRPr="00B6562C">
        <w:rPr>
          <w:rFonts w:ascii="Times New Roman" w:hAnsi="Times New Roman" w:cs="Times New Roman"/>
        </w:rPr>
        <w:t xml:space="preserve">Para la evaluación de las propuestas se utiliza un procedimiento que consta de dos etapas, mediante el cual la evaluación técnica se realiza con anterioridad a la revisión de la propuesta económica. </w:t>
      </w:r>
    </w:p>
    <w:p w14:paraId="41D38CF5" w14:textId="14B37C10" w:rsidR="00E61711" w:rsidRPr="00B6562C" w:rsidRDefault="00723834" w:rsidP="00E61711">
      <w:pPr>
        <w:spacing w:after="120"/>
        <w:jc w:val="both"/>
        <w:rPr>
          <w:rFonts w:ascii="Times New Roman" w:hAnsi="Times New Roman" w:cs="Times New Roman"/>
        </w:rPr>
      </w:pPr>
      <w:r w:rsidRPr="00B6562C">
        <w:rPr>
          <w:rFonts w:ascii="Times New Roman" w:hAnsi="Times New Roman" w:cs="Times New Roman"/>
        </w:rPr>
        <w:t>X.</w:t>
      </w:r>
      <w:r w:rsidR="00CF238A">
        <w:rPr>
          <w:rFonts w:ascii="Times New Roman" w:hAnsi="Times New Roman" w:cs="Times New Roman"/>
        </w:rPr>
        <w:t>2</w:t>
      </w:r>
      <w:r w:rsidRPr="00B6562C">
        <w:rPr>
          <w:rFonts w:ascii="Times New Roman" w:hAnsi="Times New Roman" w:cs="Times New Roman"/>
        </w:rPr>
        <w:t>-</w:t>
      </w:r>
      <w:r w:rsidR="00E61711" w:rsidRPr="00B6562C">
        <w:rPr>
          <w:rFonts w:ascii="Times New Roman" w:hAnsi="Times New Roman" w:cs="Times New Roman"/>
        </w:rPr>
        <w:t xml:space="preserve"> Sólo se considerará la Propuesta Económica de los proponentes que superen el puntaje mínimo del 70% de la calificación total de 70 puntos correspondiente a la evaluación técnica, en la cual se considera tanto el perfil profesional y experiencia del ofertante, como su propuesta técnica.</w:t>
      </w:r>
    </w:p>
    <w:p w14:paraId="782B0AAF" w14:textId="77777777" w:rsidR="00E61711" w:rsidRPr="00B6562C" w:rsidRDefault="00E61711" w:rsidP="00E61711">
      <w:pPr>
        <w:pStyle w:val="ListParagraph"/>
        <w:numPr>
          <w:ilvl w:val="0"/>
          <w:numId w:val="24"/>
        </w:numPr>
        <w:autoSpaceDE w:val="0"/>
        <w:autoSpaceDN w:val="0"/>
        <w:adjustRightInd w:val="0"/>
        <w:spacing w:after="120"/>
        <w:ind w:left="1440"/>
        <w:contextualSpacing w:val="0"/>
        <w:jc w:val="both"/>
        <w:rPr>
          <w:rFonts w:ascii="Times New Roman" w:eastAsia="Calibri" w:hAnsi="Times New Roman" w:cs="Times New Roman"/>
          <w:color w:val="000000"/>
        </w:rPr>
      </w:pPr>
      <w:r w:rsidRPr="00B6562C">
        <w:rPr>
          <w:rFonts w:ascii="Times New Roman" w:eastAsia="Calibri" w:hAnsi="Times New Roman" w:cs="Times New Roman"/>
          <w:color w:val="000000"/>
        </w:rPr>
        <w:t xml:space="preserve">La propuesta financiera tendrá una ponderación de 30 puntos, otorgándose la máxima puntuación a la más económica y otorgando un puntaje a las demás con base en la siguiente fórmula: (Oferta más económica/Oferta a evaluar) x 30. </w:t>
      </w:r>
    </w:p>
    <w:p w14:paraId="2645C24E" w14:textId="77777777" w:rsidR="00E61711" w:rsidRPr="00B6562C" w:rsidRDefault="00E61711" w:rsidP="00E61711">
      <w:pPr>
        <w:pStyle w:val="ListParagraph"/>
        <w:numPr>
          <w:ilvl w:val="0"/>
          <w:numId w:val="24"/>
        </w:numPr>
        <w:autoSpaceDE w:val="0"/>
        <w:autoSpaceDN w:val="0"/>
        <w:adjustRightInd w:val="0"/>
        <w:spacing w:after="120"/>
        <w:ind w:left="1440"/>
        <w:contextualSpacing w:val="0"/>
        <w:jc w:val="both"/>
        <w:rPr>
          <w:rFonts w:ascii="Times New Roman" w:eastAsia="Calibri" w:hAnsi="Times New Roman" w:cs="Times New Roman"/>
          <w:color w:val="000000"/>
        </w:rPr>
      </w:pPr>
      <w:r w:rsidRPr="00B6562C">
        <w:rPr>
          <w:rFonts w:ascii="Times New Roman" w:eastAsia="Calibri" w:hAnsi="Times New Roman" w:cs="Times New Roman"/>
          <w:color w:val="000000"/>
        </w:rPr>
        <w:t>Se recomendará la adjudicación del contrato a la propuesta con el mayor puntaje combinado: Calidad Técnica (70) + Oferta Financiera (30).</w:t>
      </w:r>
    </w:p>
    <w:p w14:paraId="60AD43ED" w14:textId="020E258E" w:rsidR="00E61711" w:rsidRPr="00B6562C" w:rsidRDefault="00E61711" w:rsidP="00E61711">
      <w:pPr>
        <w:autoSpaceDE w:val="0"/>
        <w:autoSpaceDN w:val="0"/>
        <w:adjustRightInd w:val="0"/>
        <w:spacing w:after="0"/>
        <w:jc w:val="both"/>
        <w:rPr>
          <w:rFonts w:ascii="Times New Roman" w:eastAsia="Calibri" w:hAnsi="Times New Roman" w:cs="Times New Roman"/>
          <w:color w:val="000000"/>
        </w:rPr>
      </w:pPr>
      <w:r w:rsidRPr="00B6562C">
        <w:rPr>
          <w:rFonts w:ascii="Times New Roman" w:hAnsi="Times New Roman" w:cs="Times New Roman"/>
        </w:rPr>
        <w:t>X.</w:t>
      </w:r>
      <w:r w:rsidR="00103C57">
        <w:rPr>
          <w:rFonts w:ascii="Times New Roman" w:hAnsi="Times New Roman" w:cs="Times New Roman"/>
        </w:rPr>
        <w:t>3</w:t>
      </w:r>
      <w:r w:rsidRPr="00B6562C">
        <w:rPr>
          <w:rFonts w:ascii="Times New Roman" w:hAnsi="Times New Roman" w:cs="Times New Roman"/>
        </w:rPr>
        <w:t xml:space="preserve">- </w:t>
      </w:r>
      <w:r w:rsidRPr="00B6562C">
        <w:rPr>
          <w:rFonts w:ascii="Times New Roman" w:eastAsia="Calibri" w:hAnsi="Times New Roman" w:cs="Times New Roman"/>
          <w:color w:val="000000"/>
        </w:rPr>
        <w:t>Posterior a la revisión, la oficina informará a la persona consultora seleccionada la decisión.</w:t>
      </w:r>
    </w:p>
    <w:p w14:paraId="6D7E8919" w14:textId="7213BEAD" w:rsidR="00580ADE" w:rsidRPr="00B6562C" w:rsidRDefault="00580ADE" w:rsidP="00580ADE">
      <w:pPr>
        <w:spacing w:after="120"/>
        <w:jc w:val="both"/>
        <w:rPr>
          <w:rFonts w:ascii="Times New Roman" w:hAnsi="Times New Roman" w:cs="Times New Roman"/>
        </w:rPr>
      </w:pPr>
    </w:p>
    <w:p w14:paraId="2A5E88B5" w14:textId="461F3C65" w:rsidR="00580ADE" w:rsidRPr="00B6562C" w:rsidRDefault="00580ADE" w:rsidP="00580ADE">
      <w:pPr>
        <w:jc w:val="both"/>
        <w:rPr>
          <w:rFonts w:ascii="Times New Roman" w:hAnsi="Times New Roman" w:cs="Times New Roman"/>
          <w:b/>
          <w:color w:val="000000"/>
          <w:lang w:val="es-AR"/>
        </w:rPr>
      </w:pPr>
      <w:r w:rsidRPr="00B6562C">
        <w:rPr>
          <w:rFonts w:ascii="Times New Roman" w:hAnsi="Times New Roman" w:cs="Times New Roman"/>
          <w:b/>
          <w:color w:val="000000"/>
          <w:lang w:val="es-AR"/>
        </w:rPr>
        <w:t>X</w:t>
      </w:r>
      <w:r w:rsidR="00BF2529" w:rsidRPr="00B6562C">
        <w:rPr>
          <w:rFonts w:ascii="Times New Roman" w:hAnsi="Times New Roman" w:cs="Times New Roman"/>
          <w:b/>
          <w:color w:val="000000"/>
          <w:lang w:val="es-AR"/>
        </w:rPr>
        <w:t>I</w:t>
      </w:r>
      <w:r w:rsidRPr="00B6562C">
        <w:rPr>
          <w:rFonts w:ascii="Times New Roman" w:hAnsi="Times New Roman" w:cs="Times New Roman"/>
          <w:b/>
          <w:color w:val="000000"/>
          <w:lang w:val="es-AR"/>
        </w:rPr>
        <w:t xml:space="preserve">.  Presentación de Propuestas </w:t>
      </w:r>
    </w:p>
    <w:p w14:paraId="07AF4EB7" w14:textId="375CD4E5" w:rsidR="00580ADE" w:rsidRPr="00B6562C" w:rsidRDefault="00723834" w:rsidP="00580ADE">
      <w:pPr>
        <w:spacing w:after="120"/>
        <w:jc w:val="both"/>
        <w:rPr>
          <w:rFonts w:ascii="Times New Roman" w:hAnsi="Times New Roman" w:cs="Times New Roman"/>
          <w:lang w:eastAsia="es-ES"/>
        </w:rPr>
      </w:pPr>
      <w:r w:rsidRPr="00B6562C">
        <w:rPr>
          <w:rFonts w:ascii="Times New Roman" w:hAnsi="Times New Roman" w:cs="Times New Roman"/>
          <w:lang w:eastAsia="es-ES"/>
        </w:rPr>
        <w:t>X</w:t>
      </w:r>
      <w:r w:rsidR="00BF2529" w:rsidRPr="00B6562C">
        <w:rPr>
          <w:rFonts w:ascii="Times New Roman" w:hAnsi="Times New Roman" w:cs="Times New Roman"/>
          <w:lang w:eastAsia="es-ES"/>
        </w:rPr>
        <w:t>I</w:t>
      </w:r>
      <w:r w:rsidRPr="00B6562C">
        <w:rPr>
          <w:rFonts w:ascii="Times New Roman" w:hAnsi="Times New Roman" w:cs="Times New Roman"/>
          <w:lang w:eastAsia="es-ES"/>
        </w:rPr>
        <w:t>.</w:t>
      </w:r>
      <w:r w:rsidR="00E16A7F" w:rsidRPr="00B6562C">
        <w:rPr>
          <w:rFonts w:ascii="Times New Roman" w:hAnsi="Times New Roman" w:cs="Times New Roman"/>
          <w:lang w:eastAsia="es-ES"/>
        </w:rPr>
        <w:t>1-</w:t>
      </w:r>
      <w:r w:rsidRPr="00B6562C">
        <w:rPr>
          <w:rFonts w:ascii="Times New Roman" w:hAnsi="Times New Roman" w:cs="Times New Roman"/>
          <w:lang w:eastAsia="es-ES"/>
        </w:rPr>
        <w:t xml:space="preserve"> </w:t>
      </w:r>
      <w:r w:rsidR="00580ADE" w:rsidRPr="00B6562C">
        <w:rPr>
          <w:rFonts w:ascii="Times New Roman" w:hAnsi="Times New Roman" w:cs="Times New Roman"/>
          <w:lang w:eastAsia="es-ES"/>
        </w:rPr>
        <w:t>La propuesta de la persona interesada deberá contener lo siguiente:</w:t>
      </w:r>
    </w:p>
    <w:p w14:paraId="4C4656C1" w14:textId="77777777" w:rsidR="00E61711" w:rsidRPr="00B6562C" w:rsidRDefault="00E61711" w:rsidP="00E61711">
      <w:pPr>
        <w:spacing w:after="120"/>
        <w:jc w:val="both"/>
        <w:rPr>
          <w:rFonts w:ascii="Times New Roman" w:hAnsi="Times New Roman" w:cs="Times New Roman"/>
          <w:lang w:eastAsia="es-ES"/>
        </w:rPr>
      </w:pPr>
      <w:r w:rsidRPr="00B6562C">
        <w:rPr>
          <w:rFonts w:ascii="Times New Roman" w:hAnsi="Times New Roman" w:cs="Times New Roman"/>
          <w:lang w:eastAsia="es-ES"/>
        </w:rPr>
        <w:t>i)</w:t>
      </w:r>
      <w:r w:rsidRPr="00B6562C">
        <w:rPr>
          <w:rFonts w:ascii="Times New Roman" w:hAnsi="Times New Roman" w:cs="Times New Roman"/>
          <w:lang w:eastAsia="es-ES"/>
        </w:rPr>
        <w:tab/>
        <w:t xml:space="preserve">Carta debidamente presentada de la Confirmación de interés y disponibilidad utilizando el modelo proporcionado por el PNUD; (Formato Adjunto) </w:t>
      </w:r>
    </w:p>
    <w:p w14:paraId="417AF8A3" w14:textId="77777777" w:rsidR="00E61711" w:rsidRPr="00B6562C" w:rsidRDefault="00E61711" w:rsidP="00E61711">
      <w:pPr>
        <w:spacing w:after="120"/>
        <w:jc w:val="both"/>
        <w:rPr>
          <w:rFonts w:ascii="Times New Roman" w:hAnsi="Times New Roman" w:cs="Times New Roman"/>
          <w:lang w:eastAsia="es-ES"/>
        </w:rPr>
      </w:pPr>
      <w:proofErr w:type="spellStart"/>
      <w:r w:rsidRPr="00B6562C">
        <w:rPr>
          <w:rFonts w:ascii="Times New Roman" w:hAnsi="Times New Roman" w:cs="Times New Roman"/>
          <w:lang w:eastAsia="es-ES"/>
        </w:rPr>
        <w:t>ii</w:t>
      </w:r>
      <w:proofErr w:type="spellEnd"/>
      <w:r w:rsidRPr="00B6562C">
        <w:rPr>
          <w:rFonts w:ascii="Times New Roman" w:hAnsi="Times New Roman" w:cs="Times New Roman"/>
          <w:lang w:eastAsia="es-ES"/>
        </w:rPr>
        <w:t>)</w:t>
      </w:r>
      <w:r w:rsidRPr="00B6562C">
        <w:rPr>
          <w:rFonts w:ascii="Times New Roman" w:hAnsi="Times New Roman" w:cs="Times New Roman"/>
          <w:lang w:eastAsia="es-ES"/>
        </w:rPr>
        <w:tab/>
        <w:t xml:space="preserve"> CV Personal y formulario P11 (Formato Adjunto), indicando toda la experiencia pasada de proyectos similares, así como los datos de contacto (correo electrónico y número de teléfono) del candidato y por lo menos tres (3) referencias profesionales; </w:t>
      </w:r>
    </w:p>
    <w:p w14:paraId="25A16CD8" w14:textId="77777777" w:rsidR="00E61711" w:rsidRPr="00B6562C" w:rsidRDefault="00E61711" w:rsidP="00E61711">
      <w:pPr>
        <w:spacing w:after="120"/>
        <w:jc w:val="both"/>
        <w:rPr>
          <w:rFonts w:ascii="Times New Roman" w:hAnsi="Times New Roman" w:cs="Times New Roman"/>
          <w:lang w:eastAsia="es-ES"/>
        </w:rPr>
      </w:pPr>
      <w:proofErr w:type="spellStart"/>
      <w:r w:rsidRPr="00B6562C">
        <w:rPr>
          <w:rFonts w:ascii="Times New Roman" w:hAnsi="Times New Roman" w:cs="Times New Roman"/>
          <w:lang w:eastAsia="es-ES"/>
        </w:rPr>
        <w:lastRenderedPageBreak/>
        <w:t>iii</w:t>
      </w:r>
      <w:proofErr w:type="spellEnd"/>
      <w:r w:rsidRPr="00B6562C">
        <w:rPr>
          <w:rFonts w:ascii="Times New Roman" w:hAnsi="Times New Roman" w:cs="Times New Roman"/>
          <w:lang w:eastAsia="es-ES"/>
        </w:rPr>
        <w:t>)</w:t>
      </w:r>
      <w:r w:rsidRPr="00B6562C">
        <w:rPr>
          <w:rFonts w:ascii="Times New Roman" w:hAnsi="Times New Roman" w:cs="Times New Roman"/>
          <w:lang w:eastAsia="es-ES"/>
        </w:rPr>
        <w:tab/>
        <w:t xml:space="preserve">Breve descripción de por qué el individuo considera que él / ella es el/la más adecuada para el trabajo, y una propuesta metodológica sobre cómo van a abordar y completar la tarea.  </w:t>
      </w:r>
    </w:p>
    <w:p w14:paraId="3CD955F6" w14:textId="77777777" w:rsidR="00E61711" w:rsidRPr="00B6562C" w:rsidRDefault="00E61711" w:rsidP="00E61711">
      <w:pPr>
        <w:spacing w:after="120"/>
        <w:jc w:val="both"/>
        <w:rPr>
          <w:rFonts w:ascii="Times New Roman" w:hAnsi="Times New Roman" w:cs="Times New Roman"/>
          <w:lang w:eastAsia="es-ES"/>
        </w:rPr>
      </w:pPr>
      <w:proofErr w:type="spellStart"/>
      <w:r w:rsidRPr="00B6562C">
        <w:rPr>
          <w:rFonts w:ascii="Times New Roman" w:hAnsi="Times New Roman" w:cs="Times New Roman"/>
          <w:lang w:eastAsia="es-ES"/>
        </w:rPr>
        <w:t>iv</w:t>
      </w:r>
      <w:proofErr w:type="spellEnd"/>
      <w:r w:rsidRPr="00B6562C">
        <w:rPr>
          <w:rFonts w:ascii="Times New Roman" w:hAnsi="Times New Roman" w:cs="Times New Roman"/>
          <w:lang w:eastAsia="es-ES"/>
        </w:rPr>
        <w:t>)</w:t>
      </w:r>
      <w:r w:rsidRPr="00B6562C">
        <w:rPr>
          <w:rFonts w:ascii="Times New Roman" w:hAnsi="Times New Roman" w:cs="Times New Roman"/>
          <w:lang w:eastAsia="es-ES"/>
        </w:rPr>
        <w:tab/>
        <w:t>Propuesta técnica que contenga su plan de trabajo tentativo y metodología de trabajo en base a experiencias anteriores. La persona oferente deberá aportar muestras de productos similares ejecutados en contratos similares.</w:t>
      </w:r>
    </w:p>
    <w:p w14:paraId="78C3A0BF" w14:textId="77777777" w:rsidR="00E61711" w:rsidRPr="00B6562C" w:rsidRDefault="00E61711" w:rsidP="00E61711">
      <w:pPr>
        <w:spacing w:after="120"/>
        <w:jc w:val="both"/>
        <w:rPr>
          <w:rFonts w:ascii="Times New Roman" w:hAnsi="Times New Roman" w:cs="Times New Roman"/>
          <w:lang w:eastAsia="es-ES"/>
        </w:rPr>
      </w:pPr>
      <w:r w:rsidRPr="00B6562C">
        <w:rPr>
          <w:rFonts w:ascii="Times New Roman" w:hAnsi="Times New Roman" w:cs="Times New Roman"/>
          <w:lang w:eastAsia="es-ES"/>
        </w:rPr>
        <w:t>v)</w:t>
      </w:r>
      <w:r w:rsidRPr="00B6562C">
        <w:rPr>
          <w:rFonts w:ascii="Times New Roman" w:hAnsi="Times New Roman" w:cs="Times New Roman"/>
          <w:lang w:eastAsia="es-ES"/>
        </w:rPr>
        <w:tab/>
        <w:t>Propuesta Financiera que indique el precio fijo total del contrato, todo incluido, sustentado con un desglose de los gastos, según el formato proporcionado. Si el Oferente es empleado por una organización / empresa / institución, y él / ella espera que su empleador cobre un costo de administración en el proceso de liberarlo/la al PNUD bajo un Acuerdo de Préstamo Reembolsable (RLA por sus siglas en inglés), el Oferente deberá indicar en este punto, y asegurarse que todos los gastos se encuentren debidamente incorporados en la propuesta financiera presentada al PNUD.</w:t>
      </w:r>
    </w:p>
    <w:p w14:paraId="03FAAC30" w14:textId="77777777" w:rsidR="00E61711" w:rsidRPr="00B6562C" w:rsidRDefault="00E61711" w:rsidP="00E61711">
      <w:pPr>
        <w:spacing w:after="120"/>
        <w:jc w:val="both"/>
        <w:rPr>
          <w:rFonts w:ascii="Times New Roman" w:hAnsi="Times New Roman" w:cs="Times New Roman"/>
          <w:lang w:eastAsia="es-ES"/>
        </w:rPr>
      </w:pPr>
      <w:r w:rsidRPr="00B6562C">
        <w:rPr>
          <w:rFonts w:ascii="Times New Roman" w:hAnsi="Times New Roman" w:cs="Times New Roman"/>
          <w:lang w:eastAsia="es-ES"/>
        </w:rPr>
        <w:t>vi)</w:t>
      </w:r>
      <w:r w:rsidRPr="00B6562C">
        <w:rPr>
          <w:rFonts w:ascii="Times New Roman" w:hAnsi="Times New Roman" w:cs="Times New Roman"/>
          <w:lang w:eastAsia="es-ES"/>
        </w:rPr>
        <w:tab/>
        <w:t>Copia del documento de identidad del Oferente.</w:t>
      </w:r>
    </w:p>
    <w:p w14:paraId="5607FB4B" w14:textId="77777777" w:rsidR="00620296" w:rsidRPr="00B6562C" w:rsidRDefault="00620296" w:rsidP="00620296">
      <w:pPr>
        <w:pStyle w:val="ListParagraph"/>
        <w:suppressAutoHyphens/>
        <w:spacing w:after="0"/>
        <w:ind w:left="1080"/>
        <w:contextualSpacing w:val="0"/>
        <w:jc w:val="both"/>
        <w:rPr>
          <w:rFonts w:ascii="Times New Roman" w:eastAsiaTheme="minorHAnsi" w:hAnsi="Times New Roman" w:cs="Times New Roman"/>
        </w:rPr>
      </w:pPr>
    </w:p>
    <w:p w14:paraId="40485E14" w14:textId="77777777" w:rsidR="00095F8A" w:rsidRPr="00B6562C" w:rsidRDefault="00095F8A" w:rsidP="00E61711">
      <w:pPr>
        <w:spacing w:after="120"/>
        <w:jc w:val="both"/>
        <w:rPr>
          <w:rFonts w:ascii="Times New Roman" w:hAnsi="Times New Roman" w:cs="Times New Roman"/>
          <w:lang w:eastAsia="es-ES"/>
        </w:rPr>
      </w:pPr>
      <w:r w:rsidRPr="00B6562C">
        <w:rPr>
          <w:rFonts w:ascii="Times New Roman" w:hAnsi="Times New Roman" w:cs="Times New Roman"/>
          <w:lang w:eastAsia="es-ES"/>
        </w:rPr>
        <w:t xml:space="preserve">Dichos documentos serán considerados parte integral de la propuesta. Los postulantes deberán enviar la documentación requerida para verificar el cumplimiento de los criterios de selección, </w:t>
      </w:r>
      <w:r w:rsidRPr="00B6562C">
        <w:rPr>
          <w:rFonts w:ascii="Times New Roman" w:hAnsi="Times New Roman" w:cs="Times New Roman"/>
          <w:b/>
          <w:color w:val="00B050"/>
          <w:lang w:eastAsia="es-ES"/>
        </w:rPr>
        <w:t>PREFERIBLEMENTE</w:t>
      </w:r>
      <w:r w:rsidRPr="00B6562C">
        <w:rPr>
          <w:rFonts w:ascii="Times New Roman" w:hAnsi="Times New Roman" w:cs="Times New Roman"/>
          <w:lang w:eastAsia="es-ES"/>
        </w:rPr>
        <w:t xml:space="preserve"> por vía electrónica al correo de la Unidad de Adquisiciones: </w:t>
      </w:r>
      <w:hyperlink r:id="rId11" w:history="1">
        <w:r w:rsidRPr="00B6562C">
          <w:rPr>
            <w:rFonts w:ascii="Times New Roman" w:hAnsi="Times New Roman" w:cs="Times New Roman"/>
            <w:color w:val="0000FF"/>
            <w:u w:val="single"/>
            <w:lang w:eastAsia="es-ES"/>
          </w:rPr>
          <w:t>adquisiciones.do@undp.org</w:t>
        </w:r>
      </w:hyperlink>
      <w:r w:rsidRPr="00B6562C">
        <w:rPr>
          <w:rFonts w:ascii="Times New Roman" w:hAnsi="Times New Roman" w:cs="Times New Roman"/>
          <w:lang w:eastAsia="es-ES"/>
        </w:rPr>
        <w:t xml:space="preserve"> , o podrá ser depositada en sobre cerrado, identificando el proyecto que realiza la convocatoria en el plazo anunciado, en cualquiera de las siguientes direcciones: </w:t>
      </w:r>
    </w:p>
    <w:p w14:paraId="334DF25E" w14:textId="77777777" w:rsidR="00095F8A" w:rsidRPr="00B6562C" w:rsidRDefault="00095F8A" w:rsidP="00E61711">
      <w:pPr>
        <w:jc w:val="both"/>
        <w:rPr>
          <w:rFonts w:ascii="Times New Roman" w:hAnsi="Times New Roman" w:cs="Times New Roman"/>
          <w:b/>
          <w:lang w:eastAsia="es-ES"/>
        </w:rPr>
      </w:pPr>
      <w:r w:rsidRPr="00B6562C">
        <w:rPr>
          <w:rFonts w:ascii="Times New Roman" w:hAnsi="Times New Roman" w:cs="Times New Roman"/>
          <w:lang w:eastAsia="es-ES"/>
        </w:rPr>
        <w:t xml:space="preserve">En copia dura:   </w:t>
      </w:r>
      <w:r w:rsidRPr="00B6562C">
        <w:rPr>
          <w:rFonts w:ascii="Times New Roman" w:hAnsi="Times New Roman" w:cs="Times New Roman"/>
          <w:b/>
          <w:lang w:eastAsia="es-ES"/>
        </w:rPr>
        <w:t>Casa de las Naciones Unidas, Av. Anacaona Num.9, Mirador Sur</w:t>
      </w:r>
      <w:r w:rsidRPr="00B6562C">
        <w:rPr>
          <w:rFonts w:ascii="Times New Roman" w:hAnsi="Times New Roman" w:cs="Times New Roman"/>
          <w:lang w:eastAsia="es-ES"/>
        </w:rPr>
        <w:t xml:space="preserve">, o Fax Núm. </w:t>
      </w:r>
      <w:r w:rsidRPr="00B6562C">
        <w:rPr>
          <w:rFonts w:ascii="Times New Roman" w:hAnsi="Times New Roman" w:cs="Times New Roman"/>
          <w:b/>
          <w:lang w:eastAsia="es-ES"/>
        </w:rPr>
        <w:t>809-531-4882</w:t>
      </w:r>
    </w:p>
    <w:p w14:paraId="5057D677" w14:textId="77777777" w:rsidR="00095F8A" w:rsidRPr="00B6562C" w:rsidRDefault="00095F8A" w:rsidP="00E61711">
      <w:pPr>
        <w:spacing w:after="0"/>
        <w:jc w:val="both"/>
        <w:rPr>
          <w:rFonts w:ascii="Times New Roman" w:hAnsi="Times New Roman" w:cs="Times New Roman"/>
          <w:lang w:eastAsia="es-ES"/>
        </w:rPr>
      </w:pPr>
      <w:r w:rsidRPr="00B6562C">
        <w:rPr>
          <w:rFonts w:ascii="Times New Roman" w:hAnsi="Times New Roman" w:cs="Times New Roman"/>
          <w:lang w:eastAsia="es-ES"/>
        </w:rPr>
        <w:t xml:space="preserve">Nota: </w:t>
      </w:r>
    </w:p>
    <w:p w14:paraId="54CB76A9" w14:textId="77777777" w:rsidR="00095F8A" w:rsidRPr="00B6562C" w:rsidRDefault="00095F8A" w:rsidP="00095F8A">
      <w:pPr>
        <w:pStyle w:val="ListParagraph"/>
        <w:numPr>
          <w:ilvl w:val="0"/>
          <w:numId w:val="23"/>
        </w:numPr>
        <w:spacing w:after="0"/>
        <w:ind w:left="990" w:hanging="180"/>
        <w:jc w:val="both"/>
        <w:rPr>
          <w:rFonts w:ascii="Times New Roman" w:hAnsi="Times New Roman" w:cs="Times New Roman"/>
          <w:lang w:eastAsia="es-ES"/>
        </w:rPr>
      </w:pPr>
      <w:r w:rsidRPr="00B6562C">
        <w:rPr>
          <w:rFonts w:ascii="Times New Roman" w:hAnsi="Times New Roman" w:cs="Times New Roman"/>
          <w:lang w:eastAsia="es-ES"/>
        </w:rPr>
        <w:t>Este proceso de licitación abierta está dirigido a profesionales, que prestarán sus servicios de manera individual.</w:t>
      </w:r>
    </w:p>
    <w:p w14:paraId="1C940CA9" w14:textId="77777777" w:rsidR="00095F8A" w:rsidRPr="00B6562C" w:rsidRDefault="00095F8A" w:rsidP="00095F8A">
      <w:pPr>
        <w:pStyle w:val="ListParagraph"/>
        <w:numPr>
          <w:ilvl w:val="0"/>
          <w:numId w:val="23"/>
        </w:numPr>
        <w:spacing w:after="0"/>
        <w:ind w:left="990" w:hanging="180"/>
        <w:jc w:val="both"/>
        <w:rPr>
          <w:rFonts w:ascii="Times New Roman" w:hAnsi="Times New Roman" w:cs="Times New Roman"/>
          <w:lang w:eastAsia="es-ES"/>
        </w:rPr>
      </w:pPr>
      <w:r w:rsidRPr="00B6562C">
        <w:rPr>
          <w:rFonts w:ascii="Times New Roman" w:hAnsi="Times New Roman" w:cs="Times New Roman"/>
          <w:lang w:eastAsia="es-ES"/>
        </w:rPr>
        <w:t>Bajo la modalidad de Contrato Individual del PNUD no se podrá contratar a funcionarios de gobierno, a menos que antes del nombramiento se cumplan las siguientes condiciones: (i) se ha recibido de parte del gobierno una carta de no objeción relativa al Individuo; y (</w:t>
      </w:r>
      <w:proofErr w:type="spellStart"/>
      <w:r w:rsidRPr="00B6562C">
        <w:rPr>
          <w:rFonts w:ascii="Times New Roman" w:hAnsi="Times New Roman" w:cs="Times New Roman"/>
          <w:lang w:eastAsia="es-ES"/>
        </w:rPr>
        <w:t>ii</w:t>
      </w:r>
      <w:proofErr w:type="spellEnd"/>
      <w:r w:rsidRPr="00B6562C">
        <w:rPr>
          <w:rFonts w:ascii="Times New Roman" w:hAnsi="Times New Roman" w:cs="Times New Roman"/>
          <w:lang w:eastAsia="es-ES"/>
        </w:rPr>
        <w:t>) el gobierno en cuestión ha certificado por escrito que el funcionario se encuentra con permiso oficial sin goce de sueldo durante el período de vigencia del Contrato Individual.</w:t>
      </w:r>
    </w:p>
    <w:p w14:paraId="76B66C02" w14:textId="77777777" w:rsidR="00095F8A" w:rsidRPr="00B6562C" w:rsidRDefault="00095F8A" w:rsidP="00095F8A">
      <w:pPr>
        <w:pStyle w:val="ListParagraph"/>
        <w:numPr>
          <w:ilvl w:val="0"/>
          <w:numId w:val="23"/>
        </w:numPr>
        <w:spacing w:after="0"/>
        <w:ind w:left="990" w:hanging="180"/>
        <w:jc w:val="both"/>
        <w:rPr>
          <w:rFonts w:ascii="Times New Roman" w:hAnsi="Times New Roman" w:cs="Times New Roman"/>
          <w:lang w:eastAsia="es-ES"/>
        </w:rPr>
      </w:pPr>
      <w:r w:rsidRPr="00B6562C">
        <w:rPr>
          <w:rFonts w:ascii="Times New Roman" w:hAnsi="Times New Roman" w:cs="Times New Roman"/>
          <w:lang w:eastAsia="es-ES"/>
        </w:rPr>
        <w:t>El sector de adquisiciones del PNUD se reserva el derecho de aceptar o rechazar cualquier Propuesta y de anular el proceso licitatorio, así como de rechazar todas las Propuestas en cualquier momento con anterioridad a la adjudicación del contrato sin incurrir por ello en ninguna responsabilidad con relación al Oferente que se viera así afectado y sin tener la obligación de informar al Oferente u Oferentes afectados de los motivos de dicha acción.</w:t>
      </w:r>
    </w:p>
    <w:p w14:paraId="4F5A86E8" w14:textId="77777777" w:rsidR="00095F8A" w:rsidRPr="00B6562C" w:rsidRDefault="00095F8A" w:rsidP="00095F8A">
      <w:pPr>
        <w:pStyle w:val="ListParagraph"/>
        <w:spacing w:after="0"/>
        <w:ind w:left="270"/>
        <w:jc w:val="both"/>
        <w:rPr>
          <w:rFonts w:ascii="Times New Roman" w:hAnsi="Times New Roman" w:cs="Times New Roman"/>
          <w:lang w:eastAsia="es-ES"/>
        </w:rPr>
      </w:pPr>
    </w:p>
    <w:p w14:paraId="5EF6479F" w14:textId="77777777" w:rsidR="00095F8A" w:rsidRPr="00B6562C" w:rsidRDefault="00095F8A" w:rsidP="00095F8A">
      <w:pPr>
        <w:spacing w:after="0"/>
        <w:jc w:val="both"/>
        <w:rPr>
          <w:rFonts w:ascii="Times New Roman" w:hAnsi="Times New Roman" w:cs="Times New Roman"/>
          <w:b/>
          <w:color w:val="00B050"/>
          <w:lang w:eastAsia="es-ES"/>
        </w:rPr>
      </w:pPr>
      <w:r w:rsidRPr="00B6562C">
        <w:rPr>
          <w:rFonts w:ascii="Times New Roman" w:hAnsi="Times New Roman" w:cs="Times New Roman"/>
          <w:b/>
          <w:color w:val="00B050"/>
          <w:lang w:eastAsia="es-ES"/>
        </w:rPr>
        <w:t>El PNUD promueve la protección al medioambiente, por lo que agradeceremos recibir su propuesta en formato electrónico.</w:t>
      </w:r>
    </w:p>
    <w:p w14:paraId="29269AB2" w14:textId="77777777" w:rsidR="00095F8A" w:rsidRPr="00B6562C" w:rsidRDefault="00095F8A" w:rsidP="00095F8A">
      <w:pPr>
        <w:spacing w:after="0"/>
        <w:jc w:val="both"/>
        <w:rPr>
          <w:rFonts w:ascii="Times New Roman" w:hAnsi="Times New Roman" w:cs="Times New Roman"/>
          <w:b/>
          <w:color w:val="00B050"/>
          <w:lang w:eastAsia="es-ES"/>
        </w:rPr>
      </w:pPr>
    </w:p>
    <w:p w14:paraId="490962C6" w14:textId="3415816A" w:rsidR="00095F8A" w:rsidRPr="00B6562C" w:rsidRDefault="00095F8A" w:rsidP="00095F8A">
      <w:pPr>
        <w:keepNext/>
        <w:numPr>
          <w:ilvl w:val="0"/>
          <w:numId w:val="22"/>
        </w:numPr>
        <w:suppressAutoHyphens/>
        <w:spacing w:after="0"/>
        <w:outlineLvl w:val="0"/>
        <w:rPr>
          <w:rFonts w:ascii="Times New Roman" w:hAnsi="Times New Roman" w:cs="Times New Roman"/>
          <w:b/>
          <w:bCs/>
          <w:kern w:val="1"/>
          <w:lang w:val="es-DO" w:eastAsia="ar-SA"/>
        </w:rPr>
      </w:pPr>
      <w:r w:rsidRPr="00B6562C">
        <w:rPr>
          <w:rFonts w:ascii="Times New Roman" w:hAnsi="Times New Roman" w:cs="Times New Roman"/>
          <w:b/>
          <w:bCs/>
          <w:kern w:val="1"/>
          <w:lang w:val="es-DO" w:eastAsia="ar-SA"/>
        </w:rPr>
        <w:t>APROBACIÓN</w:t>
      </w:r>
    </w:p>
    <w:p w14:paraId="38128F15" w14:textId="3B07EEB9" w:rsidR="00095F8A" w:rsidRPr="00B6562C" w:rsidRDefault="00095F8A" w:rsidP="00095F8A">
      <w:pPr>
        <w:keepNext/>
        <w:suppressAutoHyphens/>
        <w:spacing w:after="0"/>
        <w:outlineLvl w:val="0"/>
        <w:rPr>
          <w:rFonts w:ascii="Times New Roman" w:hAnsi="Times New Roman" w:cs="Times New Roman"/>
          <w:b/>
          <w:bCs/>
          <w:kern w:val="1"/>
          <w:lang w:val="es-DO" w:eastAsia="ar-SA"/>
        </w:rPr>
      </w:pPr>
    </w:p>
    <w:tbl>
      <w:tblPr>
        <w:tblStyle w:val="TableGrid"/>
        <w:tblW w:w="0" w:type="auto"/>
        <w:tblInd w:w="61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82"/>
        <w:gridCol w:w="3658"/>
      </w:tblGrid>
      <w:tr w:rsidR="00095F8A" w:rsidRPr="00B6562C" w14:paraId="72E5AE3D" w14:textId="77777777" w:rsidTr="00E71D93">
        <w:trPr>
          <w:trHeight w:val="20"/>
        </w:trPr>
        <w:tc>
          <w:tcPr>
            <w:tcW w:w="0" w:type="auto"/>
            <w:tcBorders>
              <w:top w:val="nil"/>
              <w:bottom w:val="nil"/>
            </w:tcBorders>
          </w:tcPr>
          <w:p w14:paraId="03F57A39" w14:textId="77777777" w:rsidR="00095F8A" w:rsidRPr="00B6562C" w:rsidRDefault="00095F8A" w:rsidP="00095F8A">
            <w:pPr>
              <w:spacing w:after="0"/>
              <w:jc w:val="both"/>
              <w:rPr>
                <w:rFonts w:ascii="Times New Roman" w:hAnsi="Times New Roman" w:cs="Times New Roman"/>
                <w:b/>
                <w:sz w:val="22"/>
                <w:szCs w:val="22"/>
                <w:lang w:eastAsia="es-ES"/>
              </w:rPr>
            </w:pPr>
            <w:r w:rsidRPr="00B6562C">
              <w:rPr>
                <w:rFonts w:ascii="Times New Roman" w:hAnsi="Times New Roman" w:cs="Times New Roman"/>
                <w:b/>
                <w:sz w:val="22"/>
                <w:szCs w:val="22"/>
                <w:lang w:eastAsia="es-ES"/>
              </w:rPr>
              <w:t>TdR presentados por:</w:t>
            </w:r>
          </w:p>
        </w:tc>
        <w:tc>
          <w:tcPr>
            <w:tcW w:w="3658" w:type="dxa"/>
            <w:tcBorders>
              <w:top w:val="nil"/>
              <w:bottom w:val="single" w:sz="4" w:space="0" w:color="auto"/>
            </w:tcBorders>
          </w:tcPr>
          <w:p w14:paraId="7B5E7CC6" w14:textId="77777777" w:rsidR="00095F8A" w:rsidRPr="00B6562C" w:rsidRDefault="00095F8A" w:rsidP="00095F8A">
            <w:pPr>
              <w:spacing w:after="0"/>
              <w:jc w:val="both"/>
              <w:rPr>
                <w:rFonts w:ascii="Times New Roman" w:hAnsi="Times New Roman" w:cs="Times New Roman"/>
                <w:b/>
                <w:color w:val="00B050"/>
                <w:sz w:val="22"/>
                <w:szCs w:val="22"/>
                <w:lang w:eastAsia="es-ES"/>
              </w:rPr>
            </w:pPr>
          </w:p>
        </w:tc>
      </w:tr>
      <w:tr w:rsidR="00095F8A" w:rsidRPr="00B6562C" w14:paraId="237A5356" w14:textId="77777777" w:rsidTr="00E71D93">
        <w:trPr>
          <w:trHeight w:val="20"/>
        </w:trPr>
        <w:tc>
          <w:tcPr>
            <w:tcW w:w="0" w:type="auto"/>
            <w:tcBorders>
              <w:top w:val="nil"/>
              <w:bottom w:val="nil"/>
            </w:tcBorders>
          </w:tcPr>
          <w:p w14:paraId="705A532B" w14:textId="77777777" w:rsidR="00095F8A" w:rsidRPr="00B6562C" w:rsidRDefault="00095F8A" w:rsidP="00095F8A">
            <w:pPr>
              <w:spacing w:after="0"/>
              <w:jc w:val="both"/>
              <w:rPr>
                <w:rFonts w:ascii="Times New Roman" w:hAnsi="Times New Roman" w:cs="Times New Roman"/>
                <w:b/>
                <w:color w:val="00B050"/>
                <w:sz w:val="22"/>
                <w:szCs w:val="22"/>
                <w:lang w:eastAsia="es-ES"/>
              </w:rPr>
            </w:pPr>
            <w:r w:rsidRPr="00B6562C">
              <w:rPr>
                <w:rFonts w:ascii="Times New Roman" w:hAnsi="Times New Roman" w:cs="Times New Roman"/>
                <w:b/>
                <w:sz w:val="22"/>
                <w:szCs w:val="22"/>
                <w:lang w:eastAsia="es-ES"/>
              </w:rPr>
              <w:t xml:space="preserve">Firma:                           </w:t>
            </w:r>
          </w:p>
        </w:tc>
        <w:tc>
          <w:tcPr>
            <w:tcW w:w="3658" w:type="dxa"/>
            <w:tcBorders>
              <w:top w:val="single" w:sz="4" w:space="0" w:color="auto"/>
              <w:bottom w:val="single" w:sz="4" w:space="0" w:color="auto"/>
            </w:tcBorders>
          </w:tcPr>
          <w:p w14:paraId="54357FF2" w14:textId="77777777" w:rsidR="00095F8A" w:rsidRPr="00B6562C" w:rsidRDefault="00095F8A" w:rsidP="00095F8A">
            <w:pPr>
              <w:spacing w:after="0"/>
              <w:jc w:val="both"/>
              <w:rPr>
                <w:rFonts w:ascii="Times New Roman" w:hAnsi="Times New Roman" w:cs="Times New Roman"/>
                <w:b/>
                <w:color w:val="00B050"/>
                <w:sz w:val="22"/>
                <w:szCs w:val="22"/>
                <w:lang w:eastAsia="es-ES"/>
              </w:rPr>
            </w:pPr>
          </w:p>
        </w:tc>
      </w:tr>
      <w:tr w:rsidR="00095F8A" w:rsidRPr="00B6562C" w14:paraId="2727F9A8" w14:textId="77777777" w:rsidTr="00E71D93">
        <w:trPr>
          <w:trHeight w:val="20"/>
        </w:trPr>
        <w:tc>
          <w:tcPr>
            <w:tcW w:w="0" w:type="auto"/>
            <w:tcBorders>
              <w:top w:val="nil"/>
              <w:bottom w:val="nil"/>
            </w:tcBorders>
          </w:tcPr>
          <w:p w14:paraId="26DBDDB7" w14:textId="77777777" w:rsidR="00095F8A" w:rsidRPr="00B6562C" w:rsidRDefault="00095F8A" w:rsidP="00095F8A">
            <w:pPr>
              <w:spacing w:after="0"/>
              <w:jc w:val="both"/>
              <w:rPr>
                <w:rFonts w:ascii="Times New Roman" w:hAnsi="Times New Roman" w:cs="Times New Roman"/>
                <w:b/>
                <w:color w:val="00B050"/>
                <w:sz w:val="22"/>
                <w:szCs w:val="22"/>
                <w:lang w:eastAsia="es-ES"/>
              </w:rPr>
            </w:pPr>
            <w:r w:rsidRPr="00B6562C">
              <w:rPr>
                <w:rFonts w:ascii="Times New Roman" w:hAnsi="Times New Roman" w:cs="Times New Roman"/>
                <w:b/>
                <w:sz w:val="22"/>
                <w:szCs w:val="22"/>
                <w:lang w:eastAsia="es-ES"/>
              </w:rPr>
              <w:t>Nombre/Designación:</w:t>
            </w:r>
          </w:p>
        </w:tc>
        <w:tc>
          <w:tcPr>
            <w:tcW w:w="3658" w:type="dxa"/>
            <w:tcBorders>
              <w:top w:val="single" w:sz="4" w:space="0" w:color="auto"/>
              <w:bottom w:val="single" w:sz="4" w:space="0" w:color="auto"/>
            </w:tcBorders>
          </w:tcPr>
          <w:p w14:paraId="5BD5764B" w14:textId="77777777" w:rsidR="00095F8A" w:rsidRPr="00B6562C" w:rsidRDefault="00095F8A" w:rsidP="00095F8A">
            <w:pPr>
              <w:spacing w:after="0"/>
              <w:jc w:val="both"/>
              <w:rPr>
                <w:rFonts w:ascii="Times New Roman" w:hAnsi="Times New Roman" w:cs="Times New Roman"/>
                <w:b/>
                <w:color w:val="00B050"/>
                <w:sz w:val="22"/>
                <w:szCs w:val="22"/>
                <w:lang w:eastAsia="es-ES"/>
              </w:rPr>
            </w:pPr>
          </w:p>
        </w:tc>
      </w:tr>
      <w:tr w:rsidR="00095F8A" w:rsidRPr="00B6562C" w14:paraId="23BF5167" w14:textId="77777777" w:rsidTr="00E71D93">
        <w:trPr>
          <w:trHeight w:val="20"/>
        </w:trPr>
        <w:tc>
          <w:tcPr>
            <w:tcW w:w="0" w:type="auto"/>
            <w:tcBorders>
              <w:top w:val="nil"/>
              <w:bottom w:val="nil"/>
            </w:tcBorders>
          </w:tcPr>
          <w:p w14:paraId="43A176C6" w14:textId="77777777" w:rsidR="00095F8A" w:rsidRPr="00B6562C" w:rsidRDefault="00095F8A" w:rsidP="00095F8A">
            <w:pPr>
              <w:spacing w:after="0"/>
              <w:jc w:val="both"/>
              <w:rPr>
                <w:rFonts w:ascii="Times New Roman" w:hAnsi="Times New Roman" w:cs="Times New Roman"/>
                <w:b/>
                <w:color w:val="00B050"/>
                <w:sz w:val="22"/>
                <w:szCs w:val="22"/>
                <w:lang w:eastAsia="es-ES"/>
              </w:rPr>
            </w:pPr>
            <w:r w:rsidRPr="00B6562C">
              <w:rPr>
                <w:rFonts w:ascii="Times New Roman" w:hAnsi="Times New Roman" w:cs="Times New Roman"/>
                <w:b/>
                <w:sz w:val="22"/>
                <w:szCs w:val="22"/>
                <w:lang w:eastAsia="es-ES"/>
              </w:rPr>
              <w:lastRenderedPageBreak/>
              <w:t xml:space="preserve">Fecha firma:                </w:t>
            </w:r>
          </w:p>
        </w:tc>
        <w:tc>
          <w:tcPr>
            <w:tcW w:w="3658" w:type="dxa"/>
            <w:tcBorders>
              <w:top w:val="single" w:sz="4" w:space="0" w:color="auto"/>
              <w:bottom w:val="single" w:sz="4" w:space="0" w:color="auto"/>
            </w:tcBorders>
          </w:tcPr>
          <w:p w14:paraId="2456747B" w14:textId="77777777" w:rsidR="00095F8A" w:rsidRPr="00B6562C" w:rsidRDefault="00095F8A" w:rsidP="00095F8A">
            <w:pPr>
              <w:spacing w:after="0"/>
              <w:jc w:val="both"/>
              <w:rPr>
                <w:rFonts w:ascii="Times New Roman" w:hAnsi="Times New Roman" w:cs="Times New Roman"/>
                <w:b/>
                <w:color w:val="00B050"/>
                <w:sz w:val="22"/>
                <w:szCs w:val="22"/>
                <w:lang w:eastAsia="es-ES"/>
              </w:rPr>
            </w:pPr>
          </w:p>
        </w:tc>
      </w:tr>
    </w:tbl>
    <w:p w14:paraId="3A5DFDBC" w14:textId="6C566482" w:rsidR="00095F8A" w:rsidRPr="00B6562C" w:rsidRDefault="00095F8A" w:rsidP="00095F8A">
      <w:pPr>
        <w:keepNext/>
        <w:suppressAutoHyphens/>
        <w:spacing w:after="0"/>
        <w:outlineLvl w:val="0"/>
        <w:rPr>
          <w:rFonts w:ascii="Times New Roman" w:hAnsi="Times New Roman" w:cs="Times New Roman"/>
          <w:b/>
          <w:bCs/>
          <w:kern w:val="1"/>
          <w:lang w:val="es-DO" w:eastAsia="ar-SA"/>
        </w:rPr>
      </w:pPr>
    </w:p>
    <w:tbl>
      <w:tblPr>
        <w:tblStyle w:val="TableGrid"/>
        <w:tblW w:w="0" w:type="auto"/>
        <w:tblInd w:w="61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38"/>
        <w:gridCol w:w="3658"/>
      </w:tblGrid>
      <w:tr w:rsidR="00095F8A" w:rsidRPr="00B6562C" w14:paraId="538A2135" w14:textId="77777777" w:rsidTr="00E71D93">
        <w:trPr>
          <w:trHeight w:val="20"/>
        </w:trPr>
        <w:tc>
          <w:tcPr>
            <w:tcW w:w="0" w:type="auto"/>
            <w:tcBorders>
              <w:top w:val="nil"/>
              <w:bottom w:val="nil"/>
            </w:tcBorders>
          </w:tcPr>
          <w:p w14:paraId="39A3F9DA" w14:textId="7C585537" w:rsidR="00095F8A" w:rsidRPr="00B6562C" w:rsidRDefault="00095F8A" w:rsidP="00E71D93">
            <w:pPr>
              <w:spacing w:after="0"/>
              <w:jc w:val="both"/>
              <w:rPr>
                <w:rFonts w:ascii="Times New Roman" w:hAnsi="Times New Roman" w:cs="Times New Roman"/>
                <w:b/>
                <w:sz w:val="22"/>
                <w:szCs w:val="22"/>
                <w:lang w:eastAsia="es-ES"/>
              </w:rPr>
            </w:pPr>
            <w:r w:rsidRPr="00B6562C">
              <w:rPr>
                <w:rFonts w:ascii="Times New Roman" w:hAnsi="Times New Roman" w:cs="Times New Roman"/>
                <w:b/>
                <w:sz w:val="22"/>
                <w:szCs w:val="22"/>
                <w:lang w:eastAsia="es-ES"/>
              </w:rPr>
              <w:t>TdR revisados por:</w:t>
            </w:r>
          </w:p>
        </w:tc>
        <w:tc>
          <w:tcPr>
            <w:tcW w:w="3658" w:type="dxa"/>
            <w:tcBorders>
              <w:top w:val="nil"/>
              <w:bottom w:val="single" w:sz="4" w:space="0" w:color="auto"/>
            </w:tcBorders>
          </w:tcPr>
          <w:p w14:paraId="62B4F78F" w14:textId="77777777" w:rsidR="00095F8A" w:rsidRPr="00B6562C" w:rsidRDefault="00095F8A" w:rsidP="00E71D93">
            <w:pPr>
              <w:spacing w:after="0"/>
              <w:jc w:val="both"/>
              <w:rPr>
                <w:rFonts w:ascii="Times New Roman" w:hAnsi="Times New Roman" w:cs="Times New Roman"/>
                <w:b/>
                <w:color w:val="00B050"/>
                <w:sz w:val="22"/>
                <w:szCs w:val="22"/>
                <w:lang w:eastAsia="es-ES"/>
              </w:rPr>
            </w:pPr>
          </w:p>
        </w:tc>
      </w:tr>
      <w:tr w:rsidR="00095F8A" w:rsidRPr="00B6562C" w14:paraId="49924BF1" w14:textId="77777777" w:rsidTr="00E71D93">
        <w:trPr>
          <w:trHeight w:val="20"/>
        </w:trPr>
        <w:tc>
          <w:tcPr>
            <w:tcW w:w="0" w:type="auto"/>
            <w:tcBorders>
              <w:top w:val="nil"/>
              <w:bottom w:val="nil"/>
            </w:tcBorders>
          </w:tcPr>
          <w:p w14:paraId="5D2393EC" w14:textId="77777777" w:rsidR="00095F8A" w:rsidRPr="00B6562C" w:rsidRDefault="00095F8A" w:rsidP="00E71D93">
            <w:pPr>
              <w:spacing w:after="0"/>
              <w:jc w:val="both"/>
              <w:rPr>
                <w:rFonts w:ascii="Times New Roman" w:hAnsi="Times New Roman" w:cs="Times New Roman"/>
                <w:b/>
                <w:sz w:val="22"/>
                <w:szCs w:val="22"/>
                <w:lang w:eastAsia="es-ES"/>
              </w:rPr>
            </w:pPr>
          </w:p>
          <w:p w14:paraId="7528DC8C" w14:textId="63CA2613" w:rsidR="00095F8A" w:rsidRPr="00B6562C" w:rsidRDefault="00095F8A" w:rsidP="00E71D93">
            <w:pPr>
              <w:spacing w:after="0"/>
              <w:jc w:val="both"/>
              <w:rPr>
                <w:rFonts w:ascii="Times New Roman" w:hAnsi="Times New Roman" w:cs="Times New Roman"/>
                <w:b/>
                <w:color w:val="00B050"/>
                <w:sz w:val="22"/>
                <w:szCs w:val="22"/>
                <w:lang w:eastAsia="es-ES"/>
              </w:rPr>
            </w:pPr>
            <w:r w:rsidRPr="00B6562C">
              <w:rPr>
                <w:rFonts w:ascii="Times New Roman" w:hAnsi="Times New Roman" w:cs="Times New Roman"/>
                <w:b/>
                <w:sz w:val="22"/>
                <w:szCs w:val="22"/>
                <w:lang w:eastAsia="es-ES"/>
              </w:rPr>
              <w:t xml:space="preserve">Firma:                           </w:t>
            </w:r>
          </w:p>
        </w:tc>
        <w:tc>
          <w:tcPr>
            <w:tcW w:w="3658" w:type="dxa"/>
            <w:tcBorders>
              <w:top w:val="single" w:sz="4" w:space="0" w:color="auto"/>
              <w:bottom w:val="single" w:sz="4" w:space="0" w:color="auto"/>
            </w:tcBorders>
          </w:tcPr>
          <w:p w14:paraId="3BA1CF16" w14:textId="36ECCC10" w:rsidR="00095F8A" w:rsidRPr="00B6562C" w:rsidRDefault="00095F8A" w:rsidP="00095F8A">
            <w:pPr>
              <w:spacing w:after="0"/>
              <w:jc w:val="center"/>
              <w:rPr>
                <w:rFonts w:ascii="Times New Roman" w:hAnsi="Times New Roman" w:cs="Times New Roman"/>
                <w:b/>
                <w:color w:val="00B050"/>
                <w:sz w:val="22"/>
                <w:szCs w:val="22"/>
                <w:lang w:eastAsia="es-ES"/>
              </w:rPr>
            </w:pPr>
            <w:r w:rsidRPr="00B6562C">
              <w:rPr>
                <w:rFonts w:ascii="Times New Roman" w:hAnsi="Times New Roman" w:cs="Times New Roman"/>
                <w:b/>
                <w:sz w:val="22"/>
                <w:szCs w:val="22"/>
                <w:lang w:eastAsia="es-ES"/>
              </w:rPr>
              <w:t>OM</w:t>
            </w:r>
          </w:p>
        </w:tc>
      </w:tr>
    </w:tbl>
    <w:p w14:paraId="495AC0D1" w14:textId="77777777" w:rsidR="00095F8A" w:rsidRPr="00B6562C" w:rsidRDefault="00095F8A" w:rsidP="00095F8A">
      <w:pPr>
        <w:keepNext/>
        <w:suppressAutoHyphens/>
        <w:spacing w:after="0"/>
        <w:outlineLvl w:val="0"/>
        <w:rPr>
          <w:rFonts w:ascii="Times New Roman" w:hAnsi="Times New Roman" w:cs="Times New Roman"/>
          <w:b/>
          <w:bCs/>
          <w:kern w:val="1"/>
          <w:lang w:val="es-DO" w:eastAsia="ar-SA"/>
        </w:rPr>
      </w:pPr>
    </w:p>
    <w:tbl>
      <w:tblPr>
        <w:tblStyle w:val="TableGrid"/>
        <w:tblW w:w="0" w:type="auto"/>
        <w:tblInd w:w="61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48"/>
        <w:gridCol w:w="3658"/>
      </w:tblGrid>
      <w:tr w:rsidR="00095F8A" w:rsidRPr="00B6562C" w14:paraId="75CBFA1B" w14:textId="77777777" w:rsidTr="00E71D93">
        <w:trPr>
          <w:trHeight w:val="20"/>
        </w:trPr>
        <w:tc>
          <w:tcPr>
            <w:tcW w:w="0" w:type="auto"/>
            <w:tcBorders>
              <w:top w:val="nil"/>
              <w:bottom w:val="nil"/>
            </w:tcBorders>
          </w:tcPr>
          <w:p w14:paraId="7D5B7B27" w14:textId="0F2A7DE8" w:rsidR="00095F8A" w:rsidRPr="00B6562C" w:rsidRDefault="00095F8A" w:rsidP="00E71D93">
            <w:pPr>
              <w:spacing w:after="0"/>
              <w:jc w:val="both"/>
              <w:rPr>
                <w:rFonts w:ascii="Times New Roman" w:hAnsi="Times New Roman" w:cs="Times New Roman"/>
                <w:b/>
                <w:sz w:val="22"/>
                <w:szCs w:val="22"/>
                <w:lang w:eastAsia="es-ES"/>
              </w:rPr>
            </w:pPr>
            <w:r w:rsidRPr="00B6562C">
              <w:rPr>
                <w:rFonts w:ascii="Times New Roman" w:hAnsi="Times New Roman" w:cs="Times New Roman"/>
                <w:b/>
                <w:sz w:val="22"/>
                <w:szCs w:val="22"/>
                <w:lang w:eastAsia="es-ES"/>
              </w:rPr>
              <w:t>TdR aprobados por:</w:t>
            </w:r>
          </w:p>
        </w:tc>
        <w:tc>
          <w:tcPr>
            <w:tcW w:w="3658" w:type="dxa"/>
            <w:tcBorders>
              <w:top w:val="nil"/>
              <w:bottom w:val="single" w:sz="4" w:space="0" w:color="auto"/>
            </w:tcBorders>
          </w:tcPr>
          <w:p w14:paraId="39907457" w14:textId="77777777" w:rsidR="00095F8A" w:rsidRPr="00B6562C" w:rsidRDefault="00095F8A" w:rsidP="00E71D93">
            <w:pPr>
              <w:spacing w:after="0"/>
              <w:jc w:val="both"/>
              <w:rPr>
                <w:rFonts w:ascii="Times New Roman" w:hAnsi="Times New Roman" w:cs="Times New Roman"/>
                <w:b/>
                <w:color w:val="00B050"/>
                <w:sz w:val="22"/>
                <w:szCs w:val="22"/>
                <w:lang w:eastAsia="es-ES"/>
              </w:rPr>
            </w:pPr>
          </w:p>
        </w:tc>
      </w:tr>
      <w:tr w:rsidR="00095F8A" w:rsidRPr="00B6562C" w14:paraId="38E0ACBC" w14:textId="77777777" w:rsidTr="00E71D93">
        <w:trPr>
          <w:trHeight w:val="20"/>
        </w:trPr>
        <w:tc>
          <w:tcPr>
            <w:tcW w:w="0" w:type="auto"/>
            <w:tcBorders>
              <w:top w:val="nil"/>
              <w:bottom w:val="nil"/>
            </w:tcBorders>
          </w:tcPr>
          <w:p w14:paraId="3B1555DF" w14:textId="77777777" w:rsidR="00095F8A" w:rsidRPr="00B6562C" w:rsidRDefault="00095F8A" w:rsidP="00E71D93">
            <w:pPr>
              <w:spacing w:after="0"/>
              <w:jc w:val="both"/>
              <w:rPr>
                <w:rFonts w:ascii="Times New Roman" w:hAnsi="Times New Roman" w:cs="Times New Roman"/>
                <w:b/>
                <w:sz w:val="22"/>
                <w:szCs w:val="22"/>
                <w:lang w:eastAsia="es-ES"/>
              </w:rPr>
            </w:pPr>
          </w:p>
          <w:p w14:paraId="2D46C91B" w14:textId="03DFC857" w:rsidR="00095F8A" w:rsidRPr="00B6562C" w:rsidRDefault="00095F8A" w:rsidP="00E71D93">
            <w:pPr>
              <w:spacing w:after="0"/>
              <w:jc w:val="both"/>
              <w:rPr>
                <w:rFonts w:ascii="Times New Roman" w:hAnsi="Times New Roman" w:cs="Times New Roman"/>
                <w:b/>
                <w:color w:val="00B050"/>
                <w:sz w:val="22"/>
                <w:szCs w:val="22"/>
                <w:lang w:eastAsia="es-ES"/>
              </w:rPr>
            </w:pPr>
            <w:r w:rsidRPr="00B6562C">
              <w:rPr>
                <w:rFonts w:ascii="Times New Roman" w:hAnsi="Times New Roman" w:cs="Times New Roman"/>
                <w:b/>
                <w:sz w:val="22"/>
                <w:szCs w:val="22"/>
                <w:lang w:eastAsia="es-ES"/>
              </w:rPr>
              <w:t xml:space="preserve">Firma:                           </w:t>
            </w:r>
          </w:p>
        </w:tc>
        <w:tc>
          <w:tcPr>
            <w:tcW w:w="3658" w:type="dxa"/>
            <w:tcBorders>
              <w:top w:val="single" w:sz="4" w:space="0" w:color="auto"/>
              <w:bottom w:val="single" w:sz="4" w:space="0" w:color="auto"/>
            </w:tcBorders>
          </w:tcPr>
          <w:p w14:paraId="0F9DEED9" w14:textId="635C03D9" w:rsidR="00095F8A" w:rsidRPr="00B6562C" w:rsidRDefault="00095F8A" w:rsidP="00095F8A">
            <w:pPr>
              <w:spacing w:after="0"/>
              <w:jc w:val="center"/>
              <w:rPr>
                <w:rFonts w:ascii="Times New Roman" w:hAnsi="Times New Roman" w:cs="Times New Roman"/>
                <w:b/>
                <w:color w:val="00B050"/>
                <w:sz w:val="22"/>
                <w:szCs w:val="22"/>
                <w:lang w:eastAsia="es-ES"/>
              </w:rPr>
            </w:pPr>
            <w:r w:rsidRPr="00B6562C">
              <w:rPr>
                <w:rFonts w:ascii="Times New Roman" w:hAnsi="Times New Roman" w:cs="Times New Roman"/>
                <w:b/>
                <w:sz w:val="22"/>
                <w:szCs w:val="22"/>
                <w:lang w:eastAsia="es-ES"/>
              </w:rPr>
              <w:t>DRR</w:t>
            </w:r>
          </w:p>
        </w:tc>
      </w:tr>
    </w:tbl>
    <w:p w14:paraId="081F240B" w14:textId="77777777" w:rsidR="00095F8A" w:rsidRPr="00B6562C" w:rsidRDefault="00095F8A" w:rsidP="00095F8A">
      <w:pPr>
        <w:spacing w:after="0"/>
        <w:jc w:val="both"/>
        <w:rPr>
          <w:rFonts w:ascii="Times New Roman" w:hAnsi="Times New Roman" w:cs="Times New Roman"/>
          <w:b/>
          <w:color w:val="00B050"/>
          <w:lang w:eastAsia="es-ES"/>
        </w:rPr>
      </w:pPr>
    </w:p>
    <w:sectPr w:rsidR="00095F8A" w:rsidRPr="00B6562C" w:rsidSect="00BF2529">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E4C45" w14:textId="77777777" w:rsidR="00457425" w:rsidRDefault="00457425" w:rsidP="00CF0FE6">
      <w:pPr>
        <w:spacing w:after="0"/>
      </w:pPr>
      <w:r>
        <w:separator/>
      </w:r>
    </w:p>
  </w:endnote>
  <w:endnote w:type="continuationSeparator" w:id="0">
    <w:p w14:paraId="0C503CD2" w14:textId="77777777" w:rsidR="00457425" w:rsidRDefault="00457425" w:rsidP="00CF0F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E277" w14:textId="77777777" w:rsidR="00457425" w:rsidRDefault="00457425" w:rsidP="00CF0FE6">
      <w:pPr>
        <w:spacing w:after="0"/>
      </w:pPr>
      <w:r>
        <w:separator/>
      </w:r>
    </w:p>
  </w:footnote>
  <w:footnote w:type="continuationSeparator" w:id="0">
    <w:p w14:paraId="3DCACE88" w14:textId="77777777" w:rsidR="00457425" w:rsidRDefault="00457425" w:rsidP="00CF0FE6">
      <w:pPr>
        <w:spacing w:after="0"/>
      </w:pPr>
      <w:r>
        <w:continuationSeparator/>
      </w:r>
    </w:p>
  </w:footnote>
  <w:footnote w:id="1">
    <w:p w14:paraId="7E3090F3" w14:textId="77777777" w:rsidR="00CF0FE6" w:rsidRPr="00F9471A" w:rsidRDefault="00CF0FE6" w:rsidP="00CF0FE6">
      <w:pPr>
        <w:pStyle w:val="FootnoteText"/>
        <w:rPr>
          <w:rFonts w:ascii="Calibri" w:hAnsi="Calibri" w:cs="Calibri"/>
          <w:sz w:val="20"/>
          <w:szCs w:val="20"/>
          <w:lang w:val="es-DO" w:eastAsia="en-US"/>
        </w:rPr>
      </w:pPr>
      <w:r w:rsidRPr="00F9471A">
        <w:rPr>
          <w:rFonts w:ascii="Calibri" w:hAnsi="Calibri" w:cs="Calibri"/>
          <w:sz w:val="20"/>
          <w:szCs w:val="20"/>
          <w:vertAlign w:val="superscript"/>
          <w:lang w:val="es-DO" w:eastAsia="en-US"/>
        </w:rPr>
        <w:footnoteRef/>
      </w:r>
      <w:r w:rsidRPr="00F9471A">
        <w:rPr>
          <w:rFonts w:ascii="Calibri" w:hAnsi="Calibri" w:cs="Calibri"/>
          <w:sz w:val="20"/>
          <w:szCs w:val="20"/>
          <w:lang w:val="es-DO" w:eastAsia="en-US"/>
        </w:rPr>
        <w:t xml:space="preserve"> </w:t>
      </w:r>
      <w:hyperlink r:id="rId1" w:history="1">
        <w:r w:rsidRPr="00F9471A">
          <w:rPr>
            <w:rFonts w:ascii="Calibri" w:hAnsi="Calibri" w:cs="Calibri"/>
            <w:sz w:val="20"/>
            <w:szCs w:val="20"/>
            <w:lang w:val="es-DO" w:eastAsia="en-US"/>
          </w:rPr>
          <w:t>https://www.cocoalife.org/</w:t>
        </w:r>
      </w:hyperlink>
      <w:r w:rsidRPr="00F9471A">
        <w:rPr>
          <w:rFonts w:ascii="Calibri" w:hAnsi="Calibri" w:cs="Calibri"/>
          <w:sz w:val="20"/>
          <w:szCs w:val="20"/>
          <w:lang w:val="es-DO" w:eastAsia="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927"/>
    <w:multiLevelType w:val="hybridMultilevel"/>
    <w:tmpl w:val="61406D4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52F1D1E"/>
    <w:multiLevelType w:val="hybridMultilevel"/>
    <w:tmpl w:val="987A278E"/>
    <w:lvl w:ilvl="0" w:tplc="1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7713C9"/>
    <w:multiLevelType w:val="hybridMultilevel"/>
    <w:tmpl w:val="15747FC2"/>
    <w:lvl w:ilvl="0" w:tplc="1C0A001B">
      <w:start w:val="1"/>
      <w:numFmt w:val="lowerRoman"/>
      <w:lvlText w:val="%1."/>
      <w:lvlJc w:val="right"/>
      <w:pPr>
        <w:ind w:left="900" w:hanging="360"/>
      </w:pPr>
    </w:lvl>
    <w:lvl w:ilvl="1" w:tplc="1C0A0019" w:tentative="1">
      <w:start w:val="1"/>
      <w:numFmt w:val="lowerLetter"/>
      <w:lvlText w:val="%2."/>
      <w:lvlJc w:val="left"/>
      <w:pPr>
        <w:ind w:left="1620" w:hanging="360"/>
      </w:pPr>
    </w:lvl>
    <w:lvl w:ilvl="2" w:tplc="1C0A001B" w:tentative="1">
      <w:start w:val="1"/>
      <w:numFmt w:val="lowerRoman"/>
      <w:lvlText w:val="%3."/>
      <w:lvlJc w:val="right"/>
      <w:pPr>
        <w:ind w:left="2340" w:hanging="180"/>
      </w:pPr>
    </w:lvl>
    <w:lvl w:ilvl="3" w:tplc="1C0A000F" w:tentative="1">
      <w:start w:val="1"/>
      <w:numFmt w:val="decimal"/>
      <w:lvlText w:val="%4."/>
      <w:lvlJc w:val="left"/>
      <w:pPr>
        <w:ind w:left="3060" w:hanging="360"/>
      </w:pPr>
    </w:lvl>
    <w:lvl w:ilvl="4" w:tplc="1C0A0019" w:tentative="1">
      <w:start w:val="1"/>
      <w:numFmt w:val="lowerLetter"/>
      <w:lvlText w:val="%5."/>
      <w:lvlJc w:val="left"/>
      <w:pPr>
        <w:ind w:left="3780" w:hanging="360"/>
      </w:pPr>
    </w:lvl>
    <w:lvl w:ilvl="5" w:tplc="1C0A001B" w:tentative="1">
      <w:start w:val="1"/>
      <w:numFmt w:val="lowerRoman"/>
      <w:lvlText w:val="%6."/>
      <w:lvlJc w:val="right"/>
      <w:pPr>
        <w:ind w:left="4500" w:hanging="180"/>
      </w:pPr>
    </w:lvl>
    <w:lvl w:ilvl="6" w:tplc="1C0A000F" w:tentative="1">
      <w:start w:val="1"/>
      <w:numFmt w:val="decimal"/>
      <w:lvlText w:val="%7."/>
      <w:lvlJc w:val="left"/>
      <w:pPr>
        <w:ind w:left="5220" w:hanging="360"/>
      </w:pPr>
    </w:lvl>
    <w:lvl w:ilvl="7" w:tplc="1C0A0019" w:tentative="1">
      <w:start w:val="1"/>
      <w:numFmt w:val="lowerLetter"/>
      <w:lvlText w:val="%8."/>
      <w:lvlJc w:val="left"/>
      <w:pPr>
        <w:ind w:left="5940" w:hanging="360"/>
      </w:pPr>
    </w:lvl>
    <w:lvl w:ilvl="8" w:tplc="1C0A001B" w:tentative="1">
      <w:start w:val="1"/>
      <w:numFmt w:val="lowerRoman"/>
      <w:lvlText w:val="%9."/>
      <w:lvlJc w:val="right"/>
      <w:pPr>
        <w:ind w:left="6660" w:hanging="180"/>
      </w:pPr>
    </w:lvl>
  </w:abstractNum>
  <w:abstractNum w:abstractNumId="3" w15:restartNumberingAfterBreak="0">
    <w:nsid w:val="09D27E3F"/>
    <w:multiLevelType w:val="hybridMultilevel"/>
    <w:tmpl w:val="6FF22574"/>
    <w:lvl w:ilvl="0" w:tplc="A90011BA">
      <w:start w:val="1"/>
      <w:numFmt w:val="lowerRoman"/>
      <w:lvlText w:val="%1."/>
      <w:lvlJc w:val="right"/>
      <w:pPr>
        <w:ind w:left="1080" w:hanging="360"/>
      </w:pPr>
      <w:rPr>
        <w:b/>
        <w:bCs/>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4" w15:restartNumberingAfterBreak="0">
    <w:nsid w:val="11104786"/>
    <w:multiLevelType w:val="hybridMultilevel"/>
    <w:tmpl w:val="CA20A260"/>
    <w:lvl w:ilvl="0" w:tplc="9FCCE53C">
      <w:start w:val="20"/>
      <w:numFmt w:val="bullet"/>
      <w:lvlText w:val="-"/>
      <w:lvlJc w:val="left"/>
      <w:pPr>
        <w:ind w:left="2628" w:hanging="360"/>
      </w:pPr>
      <w:rPr>
        <w:rFonts w:ascii="Times New Roman" w:eastAsia="Times New Roman" w:hAnsi="Times New Roman" w:cs="Times New Roman" w:hint="default"/>
      </w:rPr>
    </w:lvl>
    <w:lvl w:ilvl="1" w:tplc="1C0A0003" w:tentative="1">
      <w:start w:val="1"/>
      <w:numFmt w:val="bullet"/>
      <w:lvlText w:val="o"/>
      <w:lvlJc w:val="left"/>
      <w:pPr>
        <w:ind w:left="3348" w:hanging="360"/>
      </w:pPr>
      <w:rPr>
        <w:rFonts w:ascii="Courier New" w:hAnsi="Courier New" w:cs="Courier New" w:hint="default"/>
      </w:rPr>
    </w:lvl>
    <w:lvl w:ilvl="2" w:tplc="1C0A0005" w:tentative="1">
      <w:start w:val="1"/>
      <w:numFmt w:val="bullet"/>
      <w:lvlText w:val=""/>
      <w:lvlJc w:val="left"/>
      <w:pPr>
        <w:ind w:left="4068" w:hanging="360"/>
      </w:pPr>
      <w:rPr>
        <w:rFonts w:ascii="Wingdings" w:hAnsi="Wingdings" w:hint="default"/>
      </w:rPr>
    </w:lvl>
    <w:lvl w:ilvl="3" w:tplc="1C0A0001" w:tentative="1">
      <w:start w:val="1"/>
      <w:numFmt w:val="bullet"/>
      <w:lvlText w:val=""/>
      <w:lvlJc w:val="left"/>
      <w:pPr>
        <w:ind w:left="4788" w:hanging="360"/>
      </w:pPr>
      <w:rPr>
        <w:rFonts w:ascii="Symbol" w:hAnsi="Symbol" w:hint="default"/>
      </w:rPr>
    </w:lvl>
    <w:lvl w:ilvl="4" w:tplc="1C0A0003" w:tentative="1">
      <w:start w:val="1"/>
      <w:numFmt w:val="bullet"/>
      <w:lvlText w:val="o"/>
      <w:lvlJc w:val="left"/>
      <w:pPr>
        <w:ind w:left="5508" w:hanging="360"/>
      </w:pPr>
      <w:rPr>
        <w:rFonts w:ascii="Courier New" w:hAnsi="Courier New" w:cs="Courier New" w:hint="default"/>
      </w:rPr>
    </w:lvl>
    <w:lvl w:ilvl="5" w:tplc="1C0A0005" w:tentative="1">
      <w:start w:val="1"/>
      <w:numFmt w:val="bullet"/>
      <w:lvlText w:val=""/>
      <w:lvlJc w:val="left"/>
      <w:pPr>
        <w:ind w:left="6228" w:hanging="360"/>
      </w:pPr>
      <w:rPr>
        <w:rFonts w:ascii="Wingdings" w:hAnsi="Wingdings" w:hint="default"/>
      </w:rPr>
    </w:lvl>
    <w:lvl w:ilvl="6" w:tplc="1C0A0001" w:tentative="1">
      <w:start w:val="1"/>
      <w:numFmt w:val="bullet"/>
      <w:lvlText w:val=""/>
      <w:lvlJc w:val="left"/>
      <w:pPr>
        <w:ind w:left="6948" w:hanging="360"/>
      </w:pPr>
      <w:rPr>
        <w:rFonts w:ascii="Symbol" w:hAnsi="Symbol" w:hint="default"/>
      </w:rPr>
    </w:lvl>
    <w:lvl w:ilvl="7" w:tplc="1C0A0003" w:tentative="1">
      <w:start w:val="1"/>
      <w:numFmt w:val="bullet"/>
      <w:lvlText w:val="o"/>
      <w:lvlJc w:val="left"/>
      <w:pPr>
        <w:ind w:left="7668" w:hanging="360"/>
      </w:pPr>
      <w:rPr>
        <w:rFonts w:ascii="Courier New" w:hAnsi="Courier New" w:cs="Courier New" w:hint="default"/>
      </w:rPr>
    </w:lvl>
    <w:lvl w:ilvl="8" w:tplc="1C0A0005" w:tentative="1">
      <w:start w:val="1"/>
      <w:numFmt w:val="bullet"/>
      <w:lvlText w:val=""/>
      <w:lvlJc w:val="left"/>
      <w:pPr>
        <w:ind w:left="8388" w:hanging="360"/>
      </w:pPr>
      <w:rPr>
        <w:rFonts w:ascii="Wingdings" w:hAnsi="Wingdings" w:hint="default"/>
      </w:rPr>
    </w:lvl>
  </w:abstractNum>
  <w:abstractNum w:abstractNumId="5" w15:restartNumberingAfterBreak="0">
    <w:nsid w:val="124E0134"/>
    <w:multiLevelType w:val="hybridMultilevel"/>
    <w:tmpl w:val="C94E2D28"/>
    <w:lvl w:ilvl="0" w:tplc="1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97377E8"/>
    <w:multiLevelType w:val="hybridMultilevel"/>
    <w:tmpl w:val="A3F0CFB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1C39647A"/>
    <w:multiLevelType w:val="hybridMultilevel"/>
    <w:tmpl w:val="84B0D846"/>
    <w:lvl w:ilvl="0" w:tplc="0409001B">
      <w:start w:val="1"/>
      <w:numFmt w:val="lowerRoman"/>
      <w:lvlText w:val="%1."/>
      <w:lvlJc w:val="righ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314BA"/>
    <w:multiLevelType w:val="hybridMultilevel"/>
    <w:tmpl w:val="98101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3C45EC1"/>
    <w:multiLevelType w:val="hybridMultilevel"/>
    <w:tmpl w:val="DF820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473890"/>
    <w:multiLevelType w:val="hybridMultilevel"/>
    <w:tmpl w:val="EE6091D8"/>
    <w:lvl w:ilvl="0" w:tplc="FC6AF9F0">
      <w:start w:val="9"/>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E1989"/>
    <w:multiLevelType w:val="hybridMultilevel"/>
    <w:tmpl w:val="AA54DEAA"/>
    <w:lvl w:ilvl="0" w:tplc="1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AB803F8"/>
    <w:multiLevelType w:val="hybridMultilevel"/>
    <w:tmpl w:val="BEB0152A"/>
    <w:lvl w:ilvl="0" w:tplc="1C0A001B">
      <w:start w:val="1"/>
      <w:numFmt w:val="lowerRoman"/>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2D490A81"/>
    <w:multiLevelType w:val="hybridMultilevel"/>
    <w:tmpl w:val="67F249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3B3239EF"/>
    <w:multiLevelType w:val="hybridMultilevel"/>
    <w:tmpl w:val="490CA48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4CFE7B6D"/>
    <w:multiLevelType w:val="hybridMultilevel"/>
    <w:tmpl w:val="FA0413A2"/>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56665534"/>
    <w:multiLevelType w:val="hybridMultilevel"/>
    <w:tmpl w:val="174628BC"/>
    <w:lvl w:ilvl="0" w:tplc="EE2CC35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7A3D65"/>
    <w:multiLevelType w:val="hybridMultilevel"/>
    <w:tmpl w:val="03B0C820"/>
    <w:lvl w:ilvl="0" w:tplc="1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A720320"/>
    <w:multiLevelType w:val="hybridMultilevel"/>
    <w:tmpl w:val="0262A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E01CD1"/>
    <w:multiLevelType w:val="hybridMultilevel"/>
    <w:tmpl w:val="09E05430"/>
    <w:lvl w:ilvl="0" w:tplc="BB727EA6">
      <w:start w:val="1"/>
      <w:numFmt w:val="low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15:restartNumberingAfterBreak="0">
    <w:nsid w:val="62907BEE"/>
    <w:multiLevelType w:val="hybridMultilevel"/>
    <w:tmpl w:val="7772AEC2"/>
    <w:lvl w:ilvl="0" w:tplc="5E2E60EC">
      <w:start w:val="1"/>
      <w:numFmt w:val="lowerRoman"/>
      <w:lvlText w:val="%1)"/>
      <w:lvlJc w:val="left"/>
      <w:pPr>
        <w:ind w:left="1800" w:hanging="720"/>
      </w:pPr>
      <w:rPr>
        <w:rFonts w:hint="default"/>
        <w:b/>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67142997"/>
    <w:multiLevelType w:val="hybridMultilevel"/>
    <w:tmpl w:val="5C86107E"/>
    <w:lvl w:ilvl="0" w:tplc="1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F893A37"/>
    <w:multiLevelType w:val="hybridMultilevel"/>
    <w:tmpl w:val="EF680DBE"/>
    <w:lvl w:ilvl="0" w:tplc="E95C1B2C">
      <w:numFmt w:val="bullet"/>
      <w:lvlText w:val="-"/>
      <w:lvlJc w:val="left"/>
      <w:pPr>
        <w:ind w:left="720" w:hanging="360"/>
      </w:pPr>
      <w:rPr>
        <w:rFonts w:ascii="Times New Roman" w:eastAsia="Times New Roman" w:hAnsi="Times New Roman" w:cs="Times New Roman" w:hint="default"/>
        <w:sz w:val="24"/>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15:restartNumberingAfterBreak="0">
    <w:nsid w:val="704A16C8"/>
    <w:multiLevelType w:val="hybridMultilevel"/>
    <w:tmpl w:val="0DB0626C"/>
    <w:lvl w:ilvl="0" w:tplc="04090001">
      <w:start w:val="1"/>
      <w:numFmt w:val="bullet"/>
      <w:lvlText w:val=""/>
      <w:lvlJc w:val="left"/>
      <w:pPr>
        <w:ind w:left="720" w:hanging="360"/>
      </w:pPr>
      <w:rPr>
        <w:rFonts w:ascii="Symbol" w:hAnsi="Symbol"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15:restartNumberingAfterBreak="0">
    <w:nsid w:val="77391BA2"/>
    <w:multiLevelType w:val="hybridMultilevel"/>
    <w:tmpl w:val="73F87DC2"/>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25" w15:restartNumberingAfterBreak="0">
    <w:nsid w:val="784409E4"/>
    <w:multiLevelType w:val="hybridMultilevel"/>
    <w:tmpl w:val="5C0EE2A0"/>
    <w:lvl w:ilvl="0" w:tplc="1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C103F85"/>
    <w:multiLevelType w:val="hybridMultilevel"/>
    <w:tmpl w:val="490CA48E"/>
    <w:lvl w:ilvl="0" w:tplc="1C0A000F">
      <w:start w:val="1"/>
      <w:numFmt w:val="decimal"/>
      <w:lvlText w:val="%1."/>
      <w:lvlJc w:val="left"/>
      <w:pPr>
        <w:ind w:left="63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15:restartNumberingAfterBreak="0">
    <w:nsid w:val="7D237AEC"/>
    <w:multiLevelType w:val="hybridMultilevel"/>
    <w:tmpl w:val="0766584A"/>
    <w:lvl w:ilvl="0" w:tplc="1C0A0001">
      <w:start w:val="1"/>
      <w:numFmt w:val="bullet"/>
      <w:lvlText w:val=""/>
      <w:lvlJc w:val="left"/>
      <w:pPr>
        <w:ind w:left="1800" w:hanging="360"/>
      </w:pPr>
      <w:rPr>
        <w:rFonts w:ascii="Symbol" w:hAnsi="Symbol" w:hint="default"/>
      </w:rPr>
    </w:lvl>
    <w:lvl w:ilvl="1" w:tplc="1C0A0003" w:tentative="1">
      <w:start w:val="1"/>
      <w:numFmt w:val="bullet"/>
      <w:lvlText w:val="o"/>
      <w:lvlJc w:val="left"/>
      <w:pPr>
        <w:ind w:left="2520" w:hanging="360"/>
      </w:pPr>
      <w:rPr>
        <w:rFonts w:ascii="Courier New" w:hAnsi="Courier New" w:cs="Courier New" w:hint="default"/>
      </w:rPr>
    </w:lvl>
    <w:lvl w:ilvl="2" w:tplc="1C0A0005" w:tentative="1">
      <w:start w:val="1"/>
      <w:numFmt w:val="bullet"/>
      <w:lvlText w:val=""/>
      <w:lvlJc w:val="left"/>
      <w:pPr>
        <w:ind w:left="3240" w:hanging="360"/>
      </w:pPr>
      <w:rPr>
        <w:rFonts w:ascii="Wingdings" w:hAnsi="Wingdings" w:hint="default"/>
      </w:rPr>
    </w:lvl>
    <w:lvl w:ilvl="3" w:tplc="1C0A0001" w:tentative="1">
      <w:start w:val="1"/>
      <w:numFmt w:val="bullet"/>
      <w:lvlText w:val=""/>
      <w:lvlJc w:val="left"/>
      <w:pPr>
        <w:ind w:left="3960" w:hanging="360"/>
      </w:pPr>
      <w:rPr>
        <w:rFonts w:ascii="Symbol" w:hAnsi="Symbol" w:hint="default"/>
      </w:rPr>
    </w:lvl>
    <w:lvl w:ilvl="4" w:tplc="1C0A0003" w:tentative="1">
      <w:start w:val="1"/>
      <w:numFmt w:val="bullet"/>
      <w:lvlText w:val="o"/>
      <w:lvlJc w:val="left"/>
      <w:pPr>
        <w:ind w:left="4680" w:hanging="360"/>
      </w:pPr>
      <w:rPr>
        <w:rFonts w:ascii="Courier New" w:hAnsi="Courier New" w:cs="Courier New" w:hint="default"/>
      </w:rPr>
    </w:lvl>
    <w:lvl w:ilvl="5" w:tplc="1C0A0005" w:tentative="1">
      <w:start w:val="1"/>
      <w:numFmt w:val="bullet"/>
      <w:lvlText w:val=""/>
      <w:lvlJc w:val="left"/>
      <w:pPr>
        <w:ind w:left="5400" w:hanging="360"/>
      </w:pPr>
      <w:rPr>
        <w:rFonts w:ascii="Wingdings" w:hAnsi="Wingdings" w:hint="default"/>
      </w:rPr>
    </w:lvl>
    <w:lvl w:ilvl="6" w:tplc="1C0A0001" w:tentative="1">
      <w:start w:val="1"/>
      <w:numFmt w:val="bullet"/>
      <w:lvlText w:val=""/>
      <w:lvlJc w:val="left"/>
      <w:pPr>
        <w:ind w:left="6120" w:hanging="360"/>
      </w:pPr>
      <w:rPr>
        <w:rFonts w:ascii="Symbol" w:hAnsi="Symbol" w:hint="default"/>
      </w:rPr>
    </w:lvl>
    <w:lvl w:ilvl="7" w:tplc="1C0A0003" w:tentative="1">
      <w:start w:val="1"/>
      <w:numFmt w:val="bullet"/>
      <w:lvlText w:val="o"/>
      <w:lvlJc w:val="left"/>
      <w:pPr>
        <w:ind w:left="6840" w:hanging="360"/>
      </w:pPr>
      <w:rPr>
        <w:rFonts w:ascii="Courier New" w:hAnsi="Courier New" w:cs="Courier New" w:hint="default"/>
      </w:rPr>
    </w:lvl>
    <w:lvl w:ilvl="8" w:tplc="1C0A0005" w:tentative="1">
      <w:start w:val="1"/>
      <w:numFmt w:val="bullet"/>
      <w:lvlText w:val=""/>
      <w:lvlJc w:val="left"/>
      <w:pPr>
        <w:ind w:left="7560" w:hanging="360"/>
      </w:pPr>
      <w:rPr>
        <w:rFonts w:ascii="Wingdings" w:hAnsi="Wingdings" w:hint="default"/>
      </w:rPr>
    </w:lvl>
  </w:abstractNum>
  <w:num w:numId="1" w16cid:durableId="11756132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2907796">
    <w:abstractNumId w:val="9"/>
  </w:num>
  <w:num w:numId="3" w16cid:durableId="2109740349">
    <w:abstractNumId w:val="24"/>
  </w:num>
  <w:num w:numId="4" w16cid:durableId="1507942267">
    <w:abstractNumId w:val="4"/>
  </w:num>
  <w:num w:numId="5" w16cid:durableId="799499674">
    <w:abstractNumId w:val="3"/>
  </w:num>
  <w:num w:numId="6" w16cid:durableId="357001908">
    <w:abstractNumId w:val="15"/>
  </w:num>
  <w:num w:numId="7" w16cid:durableId="613947310">
    <w:abstractNumId w:val="26"/>
  </w:num>
  <w:num w:numId="8" w16cid:durableId="902520939">
    <w:abstractNumId w:val="19"/>
  </w:num>
  <w:num w:numId="9" w16cid:durableId="560360241">
    <w:abstractNumId w:val="18"/>
  </w:num>
  <w:num w:numId="10" w16cid:durableId="228807828">
    <w:abstractNumId w:val="2"/>
  </w:num>
  <w:num w:numId="11" w16cid:durableId="1869486311">
    <w:abstractNumId w:val="12"/>
  </w:num>
  <w:num w:numId="12" w16cid:durableId="1482649211">
    <w:abstractNumId w:val="14"/>
  </w:num>
  <w:num w:numId="13" w16cid:durableId="286666166">
    <w:abstractNumId w:val="1"/>
  </w:num>
  <w:num w:numId="14" w16cid:durableId="1040938010">
    <w:abstractNumId w:val="11"/>
  </w:num>
  <w:num w:numId="15" w16cid:durableId="1636251344">
    <w:abstractNumId w:val="17"/>
  </w:num>
  <w:num w:numId="16" w16cid:durableId="1269582320">
    <w:abstractNumId w:val="25"/>
  </w:num>
  <w:num w:numId="17" w16cid:durableId="586573942">
    <w:abstractNumId w:val="21"/>
  </w:num>
  <w:num w:numId="18" w16cid:durableId="622158251">
    <w:abstractNumId w:val="5"/>
  </w:num>
  <w:num w:numId="19" w16cid:durableId="1247106688">
    <w:abstractNumId w:val="8"/>
  </w:num>
  <w:num w:numId="20" w16cid:durableId="2024211508">
    <w:abstractNumId w:val="10"/>
  </w:num>
  <w:num w:numId="21" w16cid:durableId="641471309">
    <w:abstractNumId w:val="7"/>
  </w:num>
  <w:num w:numId="22" w16cid:durableId="1487361991">
    <w:abstractNumId w:val="16"/>
  </w:num>
  <w:num w:numId="23" w16cid:durableId="1322003526">
    <w:abstractNumId w:val="13"/>
  </w:num>
  <w:num w:numId="24" w16cid:durableId="1627850914">
    <w:abstractNumId w:val="0"/>
  </w:num>
  <w:num w:numId="25" w16cid:durableId="1040281986">
    <w:abstractNumId w:val="6"/>
  </w:num>
  <w:num w:numId="26" w16cid:durableId="404841332">
    <w:abstractNumId w:val="20"/>
  </w:num>
  <w:num w:numId="27" w16cid:durableId="1921912257">
    <w:abstractNumId w:val="23"/>
  </w:num>
  <w:num w:numId="28" w16cid:durableId="112947058">
    <w:abstractNumId w:val="22"/>
  </w:num>
  <w:num w:numId="29" w16cid:durableId="15931997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905"/>
    <w:rsid w:val="000000E2"/>
    <w:rsid w:val="00020929"/>
    <w:rsid w:val="00021EBC"/>
    <w:rsid w:val="000220A5"/>
    <w:rsid w:val="00026B76"/>
    <w:rsid w:val="00030815"/>
    <w:rsid w:val="000311C0"/>
    <w:rsid w:val="00034FC0"/>
    <w:rsid w:val="00041257"/>
    <w:rsid w:val="00042A4A"/>
    <w:rsid w:val="000468DC"/>
    <w:rsid w:val="00053B36"/>
    <w:rsid w:val="00056398"/>
    <w:rsid w:val="00067080"/>
    <w:rsid w:val="00077B64"/>
    <w:rsid w:val="00082939"/>
    <w:rsid w:val="000932D8"/>
    <w:rsid w:val="00095F8A"/>
    <w:rsid w:val="000A55BC"/>
    <w:rsid w:val="000A5C63"/>
    <w:rsid w:val="000A6337"/>
    <w:rsid w:val="000B403F"/>
    <w:rsid w:val="000B67F1"/>
    <w:rsid w:val="000C530A"/>
    <w:rsid w:val="000E21BE"/>
    <w:rsid w:val="000E325C"/>
    <w:rsid w:val="000F00BD"/>
    <w:rsid w:val="000F00DF"/>
    <w:rsid w:val="000F1EFE"/>
    <w:rsid w:val="000F4E30"/>
    <w:rsid w:val="000F629A"/>
    <w:rsid w:val="00103C57"/>
    <w:rsid w:val="00104C05"/>
    <w:rsid w:val="0010674E"/>
    <w:rsid w:val="00123492"/>
    <w:rsid w:val="00124E5B"/>
    <w:rsid w:val="001279FF"/>
    <w:rsid w:val="00135856"/>
    <w:rsid w:val="00137BC1"/>
    <w:rsid w:val="0014637C"/>
    <w:rsid w:val="00163598"/>
    <w:rsid w:val="00172CFF"/>
    <w:rsid w:val="001733D4"/>
    <w:rsid w:val="0018393A"/>
    <w:rsid w:val="0018690D"/>
    <w:rsid w:val="001A06AD"/>
    <w:rsid w:val="001A43AC"/>
    <w:rsid w:val="001B3F90"/>
    <w:rsid w:val="001C102A"/>
    <w:rsid w:val="001D121B"/>
    <w:rsid w:val="001D242A"/>
    <w:rsid w:val="001E09A2"/>
    <w:rsid w:val="001F4B2D"/>
    <w:rsid w:val="001F7680"/>
    <w:rsid w:val="00211F83"/>
    <w:rsid w:val="002220BE"/>
    <w:rsid w:val="002258DF"/>
    <w:rsid w:val="002300C5"/>
    <w:rsid w:val="00235365"/>
    <w:rsid w:val="0023610D"/>
    <w:rsid w:val="00253A42"/>
    <w:rsid w:val="002656F7"/>
    <w:rsid w:val="0027617A"/>
    <w:rsid w:val="002A7E80"/>
    <w:rsid w:val="002B171E"/>
    <w:rsid w:val="002B6D99"/>
    <w:rsid w:val="002B7645"/>
    <w:rsid w:val="002C3C51"/>
    <w:rsid w:val="002D1EE0"/>
    <w:rsid w:val="002D6050"/>
    <w:rsid w:val="002E5DB1"/>
    <w:rsid w:val="002E7AAD"/>
    <w:rsid w:val="002F6696"/>
    <w:rsid w:val="00316D7F"/>
    <w:rsid w:val="00334AB5"/>
    <w:rsid w:val="00340149"/>
    <w:rsid w:val="00352038"/>
    <w:rsid w:val="003522CA"/>
    <w:rsid w:val="00352B89"/>
    <w:rsid w:val="003545CC"/>
    <w:rsid w:val="003556E0"/>
    <w:rsid w:val="00355AFF"/>
    <w:rsid w:val="003665BA"/>
    <w:rsid w:val="00370FB1"/>
    <w:rsid w:val="00371072"/>
    <w:rsid w:val="00375FF0"/>
    <w:rsid w:val="003771AD"/>
    <w:rsid w:val="003A19D4"/>
    <w:rsid w:val="003A5F06"/>
    <w:rsid w:val="003C772C"/>
    <w:rsid w:val="003D0E38"/>
    <w:rsid w:val="003D7DCE"/>
    <w:rsid w:val="003E6A66"/>
    <w:rsid w:val="003F18BB"/>
    <w:rsid w:val="003F2E69"/>
    <w:rsid w:val="00401C57"/>
    <w:rsid w:val="00411123"/>
    <w:rsid w:val="00421171"/>
    <w:rsid w:val="00437FB8"/>
    <w:rsid w:val="00446DEA"/>
    <w:rsid w:val="00457425"/>
    <w:rsid w:val="00465930"/>
    <w:rsid w:val="004665C4"/>
    <w:rsid w:val="00467651"/>
    <w:rsid w:val="00471311"/>
    <w:rsid w:val="00471E0F"/>
    <w:rsid w:val="00481C8E"/>
    <w:rsid w:val="00484B24"/>
    <w:rsid w:val="004A007A"/>
    <w:rsid w:val="004B6A90"/>
    <w:rsid w:val="004C52EF"/>
    <w:rsid w:val="004D6E5D"/>
    <w:rsid w:val="004E208B"/>
    <w:rsid w:val="004E4905"/>
    <w:rsid w:val="004F192A"/>
    <w:rsid w:val="004F656F"/>
    <w:rsid w:val="00507A50"/>
    <w:rsid w:val="0052055D"/>
    <w:rsid w:val="00526556"/>
    <w:rsid w:val="0054419E"/>
    <w:rsid w:val="005541F7"/>
    <w:rsid w:val="0057403B"/>
    <w:rsid w:val="00580ADE"/>
    <w:rsid w:val="00585245"/>
    <w:rsid w:val="00590F3F"/>
    <w:rsid w:val="005962B7"/>
    <w:rsid w:val="005A115E"/>
    <w:rsid w:val="005A4A54"/>
    <w:rsid w:val="005A786D"/>
    <w:rsid w:val="005B3122"/>
    <w:rsid w:val="005B684D"/>
    <w:rsid w:val="005C5AA8"/>
    <w:rsid w:val="005D39EF"/>
    <w:rsid w:val="005D3EAC"/>
    <w:rsid w:val="005E56D4"/>
    <w:rsid w:val="005F783D"/>
    <w:rsid w:val="00620296"/>
    <w:rsid w:val="006202E7"/>
    <w:rsid w:val="00621725"/>
    <w:rsid w:val="00627454"/>
    <w:rsid w:val="00627DA7"/>
    <w:rsid w:val="00635C36"/>
    <w:rsid w:val="006505F9"/>
    <w:rsid w:val="00650898"/>
    <w:rsid w:val="00655AC3"/>
    <w:rsid w:val="00665DCE"/>
    <w:rsid w:val="0067235B"/>
    <w:rsid w:val="00677CDD"/>
    <w:rsid w:val="00694F9E"/>
    <w:rsid w:val="006961B3"/>
    <w:rsid w:val="006978AF"/>
    <w:rsid w:val="006A6783"/>
    <w:rsid w:val="006C74AF"/>
    <w:rsid w:val="006D2366"/>
    <w:rsid w:val="006E7925"/>
    <w:rsid w:val="006F058A"/>
    <w:rsid w:val="006F70F5"/>
    <w:rsid w:val="00702C8B"/>
    <w:rsid w:val="00711281"/>
    <w:rsid w:val="00723834"/>
    <w:rsid w:val="00724F67"/>
    <w:rsid w:val="007262D7"/>
    <w:rsid w:val="00744CD6"/>
    <w:rsid w:val="007507D3"/>
    <w:rsid w:val="0076793D"/>
    <w:rsid w:val="00791FF8"/>
    <w:rsid w:val="007924A8"/>
    <w:rsid w:val="007A2252"/>
    <w:rsid w:val="007A3BD2"/>
    <w:rsid w:val="007B228D"/>
    <w:rsid w:val="007B41F1"/>
    <w:rsid w:val="007B68A7"/>
    <w:rsid w:val="007C0E4F"/>
    <w:rsid w:val="007D438A"/>
    <w:rsid w:val="007D6ED8"/>
    <w:rsid w:val="007F06D9"/>
    <w:rsid w:val="00825A72"/>
    <w:rsid w:val="008452BA"/>
    <w:rsid w:val="00861F88"/>
    <w:rsid w:val="00867082"/>
    <w:rsid w:val="0087374B"/>
    <w:rsid w:val="0087384B"/>
    <w:rsid w:val="0087490A"/>
    <w:rsid w:val="00876B10"/>
    <w:rsid w:val="0088003E"/>
    <w:rsid w:val="00890661"/>
    <w:rsid w:val="008934CC"/>
    <w:rsid w:val="00896B51"/>
    <w:rsid w:val="008A3A04"/>
    <w:rsid w:val="008B2CD6"/>
    <w:rsid w:val="008B3814"/>
    <w:rsid w:val="008C2B25"/>
    <w:rsid w:val="008E0D5C"/>
    <w:rsid w:val="008F2C29"/>
    <w:rsid w:val="008F3B8C"/>
    <w:rsid w:val="008F4D44"/>
    <w:rsid w:val="00910778"/>
    <w:rsid w:val="009223BC"/>
    <w:rsid w:val="00934A06"/>
    <w:rsid w:val="009435EB"/>
    <w:rsid w:val="009460A7"/>
    <w:rsid w:val="00954204"/>
    <w:rsid w:val="009626B1"/>
    <w:rsid w:val="009674B0"/>
    <w:rsid w:val="009760C2"/>
    <w:rsid w:val="00994982"/>
    <w:rsid w:val="009A2306"/>
    <w:rsid w:val="009C6413"/>
    <w:rsid w:val="009C7C47"/>
    <w:rsid w:val="009D6A79"/>
    <w:rsid w:val="009D79F9"/>
    <w:rsid w:val="009E43D7"/>
    <w:rsid w:val="009E7078"/>
    <w:rsid w:val="009F3F03"/>
    <w:rsid w:val="00A0243A"/>
    <w:rsid w:val="00A03262"/>
    <w:rsid w:val="00A073B2"/>
    <w:rsid w:val="00A14E7E"/>
    <w:rsid w:val="00A234F4"/>
    <w:rsid w:val="00A26EA7"/>
    <w:rsid w:val="00A303A7"/>
    <w:rsid w:val="00A34C57"/>
    <w:rsid w:val="00A4253E"/>
    <w:rsid w:val="00A42EAB"/>
    <w:rsid w:val="00A46E26"/>
    <w:rsid w:val="00A5568F"/>
    <w:rsid w:val="00A643BD"/>
    <w:rsid w:val="00A71B13"/>
    <w:rsid w:val="00A71C0D"/>
    <w:rsid w:val="00A77362"/>
    <w:rsid w:val="00A92AE8"/>
    <w:rsid w:val="00AB3326"/>
    <w:rsid w:val="00AC7C53"/>
    <w:rsid w:val="00AD4D71"/>
    <w:rsid w:val="00AE198B"/>
    <w:rsid w:val="00AE1D6D"/>
    <w:rsid w:val="00AE55B1"/>
    <w:rsid w:val="00AF3B4C"/>
    <w:rsid w:val="00AF7CEC"/>
    <w:rsid w:val="00B019AD"/>
    <w:rsid w:val="00B052FF"/>
    <w:rsid w:val="00B05A1A"/>
    <w:rsid w:val="00B07225"/>
    <w:rsid w:val="00B13A17"/>
    <w:rsid w:val="00B36669"/>
    <w:rsid w:val="00B3700A"/>
    <w:rsid w:val="00B4295B"/>
    <w:rsid w:val="00B461A3"/>
    <w:rsid w:val="00B6562C"/>
    <w:rsid w:val="00B74699"/>
    <w:rsid w:val="00B8351E"/>
    <w:rsid w:val="00BA238D"/>
    <w:rsid w:val="00BA38F0"/>
    <w:rsid w:val="00BB21FC"/>
    <w:rsid w:val="00BB74EA"/>
    <w:rsid w:val="00BC2796"/>
    <w:rsid w:val="00BC5EBE"/>
    <w:rsid w:val="00BD276A"/>
    <w:rsid w:val="00BD6301"/>
    <w:rsid w:val="00BF2529"/>
    <w:rsid w:val="00C150F9"/>
    <w:rsid w:val="00C20899"/>
    <w:rsid w:val="00C22E47"/>
    <w:rsid w:val="00C250DD"/>
    <w:rsid w:val="00C344AE"/>
    <w:rsid w:val="00C37658"/>
    <w:rsid w:val="00C4231C"/>
    <w:rsid w:val="00C4243E"/>
    <w:rsid w:val="00C52862"/>
    <w:rsid w:val="00C63389"/>
    <w:rsid w:val="00C65A4D"/>
    <w:rsid w:val="00C70214"/>
    <w:rsid w:val="00C73FDE"/>
    <w:rsid w:val="00C76A56"/>
    <w:rsid w:val="00C827B1"/>
    <w:rsid w:val="00C95758"/>
    <w:rsid w:val="00CA5BEE"/>
    <w:rsid w:val="00CB2F1F"/>
    <w:rsid w:val="00CD0DB1"/>
    <w:rsid w:val="00CD7CDE"/>
    <w:rsid w:val="00CE3CB7"/>
    <w:rsid w:val="00CF0FE6"/>
    <w:rsid w:val="00CF238A"/>
    <w:rsid w:val="00D0410A"/>
    <w:rsid w:val="00D106A3"/>
    <w:rsid w:val="00D11C11"/>
    <w:rsid w:val="00D14A61"/>
    <w:rsid w:val="00D45EF0"/>
    <w:rsid w:val="00D46D5C"/>
    <w:rsid w:val="00D52AD8"/>
    <w:rsid w:val="00D621D5"/>
    <w:rsid w:val="00D6263E"/>
    <w:rsid w:val="00D66633"/>
    <w:rsid w:val="00D66DCD"/>
    <w:rsid w:val="00D71A79"/>
    <w:rsid w:val="00D72C03"/>
    <w:rsid w:val="00D72E17"/>
    <w:rsid w:val="00D82B7A"/>
    <w:rsid w:val="00DA485C"/>
    <w:rsid w:val="00DA5D31"/>
    <w:rsid w:val="00DA715E"/>
    <w:rsid w:val="00DD1D0A"/>
    <w:rsid w:val="00DE6C49"/>
    <w:rsid w:val="00E16A7F"/>
    <w:rsid w:val="00E23009"/>
    <w:rsid w:val="00E3119D"/>
    <w:rsid w:val="00E33B16"/>
    <w:rsid w:val="00E3500E"/>
    <w:rsid w:val="00E41309"/>
    <w:rsid w:val="00E42BFB"/>
    <w:rsid w:val="00E4304D"/>
    <w:rsid w:val="00E47790"/>
    <w:rsid w:val="00E600DF"/>
    <w:rsid w:val="00E61711"/>
    <w:rsid w:val="00E65034"/>
    <w:rsid w:val="00E72AFB"/>
    <w:rsid w:val="00E80D94"/>
    <w:rsid w:val="00E864C2"/>
    <w:rsid w:val="00E9544A"/>
    <w:rsid w:val="00E97545"/>
    <w:rsid w:val="00EA1857"/>
    <w:rsid w:val="00EA1963"/>
    <w:rsid w:val="00EB698A"/>
    <w:rsid w:val="00EC2E0D"/>
    <w:rsid w:val="00EC3A0C"/>
    <w:rsid w:val="00ED4D79"/>
    <w:rsid w:val="00EE2F6B"/>
    <w:rsid w:val="00EF1F53"/>
    <w:rsid w:val="00EF4A80"/>
    <w:rsid w:val="00F22A31"/>
    <w:rsid w:val="00F25F05"/>
    <w:rsid w:val="00F34762"/>
    <w:rsid w:val="00F40590"/>
    <w:rsid w:val="00F453D2"/>
    <w:rsid w:val="00F463E4"/>
    <w:rsid w:val="00F61BDA"/>
    <w:rsid w:val="00F62115"/>
    <w:rsid w:val="00F62610"/>
    <w:rsid w:val="00F67ED1"/>
    <w:rsid w:val="00FA1B87"/>
    <w:rsid w:val="00FA7ED9"/>
    <w:rsid w:val="00FB2DB6"/>
    <w:rsid w:val="00FC0F4C"/>
    <w:rsid w:val="00FC2D13"/>
    <w:rsid w:val="00FC7B15"/>
    <w:rsid w:val="00FD2FD3"/>
    <w:rsid w:val="00FD7686"/>
    <w:rsid w:val="00FF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ACDE"/>
  <w15:chartTrackingRefBased/>
  <w15:docId w15:val="{2059676F-6188-4803-BB2B-C239D11A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ADE"/>
    <w:pPr>
      <w:spacing w:after="200" w:line="240" w:lineRule="auto"/>
    </w:pPr>
    <w:rPr>
      <w:rFonts w:ascii="Cambria" w:eastAsia="Times New Roman" w:hAnsi="Cambria" w:cs="Cambria"/>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80ADE"/>
    <w:rPr>
      <w:color w:val="0000FF"/>
      <w:u w:val="single"/>
    </w:rPr>
  </w:style>
  <w:style w:type="paragraph" w:styleId="BodyText">
    <w:name w:val="Body Text"/>
    <w:basedOn w:val="Normal"/>
    <w:link w:val="BodyTextChar"/>
    <w:unhideWhenUsed/>
    <w:rsid w:val="00580ADE"/>
    <w:pPr>
      <w:spacing w:after="120"/>
    </w:pPr>
    <w:rPr>
      <w:rFonts w:ascii="Times New Roman" w:hAnsi="Times New Roman" w:cs="Times New Roman"/>
      <w:lang w:val="en-US"/>
    </w:rPr>
  </w:style>
  <w:style w:type="character" w:customStyle="1" w:styleId="BodyTextChar">
    <w:name w:val="Body Text Char"/>
    <w:basedOn w:val="DefaultParagraphFont"/>
    <w:link w:val="BodyText"/>
    <w:rsid w:val="00580ADE"/>
    <w:rPr>
      <w:rFonts w:ascii="Times New Roman" w:eastAsia="Times New Roman" w:hAnsi="Times New Roman" w:cs="Times New Roman"/>
      <w:sz w:val="24"/>
      <w:szCs w:val="24"/>
    </w:rPr>
  </w:style>
  <w:style w:type="character" w:customStyle="1" w:styleId="EnlacedeInternet">
    <w:name w:val="Enlace de Internet"/>
    <w:rsid w:val="00580ADE"/>
    <w:rPr>
      <w:color w:val="000080"/>
      <w:u w:val="single"/>
    </w:rPr>
  </w:style>
  <w:style w:type="paragraph" w:styleId="BalloonText">
    <w:name w:val="Balloon Text"/>
    <w:basedOn w:val="Normal"/>
    <w:link w:val="BalloonTextChar"/>
    <w:uiPriority w:val="99"/>
    <w:semiHidden/>
    <w:unhideWhenUsed/>
    <w:rsid w:val="002D1E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EE0"/>
    <w:rPr>
      <w:rFonts w:ascii="Segoe UI" w:eastAsia="Times New Roman" w:hAnsi="Segoe UI" w:cs="Segoe UI"/>
      <w:sz w:val="18"/>
      <w:szCs w:val="18"/>
      <w:lang w:val="es-ES_tradnl"/>
    </w:rPr>
  </w:style>
  <w:style w:type="paragraph" w:styleId="ListParagraph">
    <w:name w:val="List Paragraph"/>
    <w:aliases w:val="List Paragraph (numbered (a))"/>
    <w:basedOn w:val="Normal"/>
    <w:link w:val="ListParagraphChar"/>
    <w:uiPriority w:val="34"/>
    <w:qFormat/>
    <w:rsid w:val="00A71C0D"/>
    <w:pPr>
      <w:ind w:left="720"/>
      <w:contextualSpacing/>
    </w:pPr>
  </w:style>
  <w:style w:type="character" w:customStyle="1" w:styleId="ListParagraphChar">
    <w:name w:val="List Paragraph Char"/>
    <w:aliases w:val="List Paragraph (numbered (a)) Char"/>
    <w:link w:val="ListParagraph"/>
    <w:uiPriority w:val="34"/>
    <w:rsid w:val="00C22E47"/>
    <w:rPr>
      <w:rFonts w:ascii="Cambria" w:eastAsia="Times New Roman" w:hAnsi="Cambria" w:cs="Cambria"/>
      <w:sz w:val="24"/>
      <w:szCs w:val="24"/>
      <w:lang w:val="es-ES_tradnl"/>
    </w:rPr>
  </w:style>
  <w:style w:type="character" w:styleId="CommentReference">
    <w:name w:val="annotation reference"/>
    <w:basedOn w:val="DefaultParagraphFont"/>
    <w:uiPriority w:val="99"/>
    <w:semiHidden/>
    <w:unhideWhenUsed/>
    <w:rsid w:val="00235365"/>
    <w:rPr>
      <w:sz w:val="16"/>
      <w:szCs w:val="16"/>
    </w:rPr>
  </w:style>
  <w:style w:type="paragraph" w:styleId="CommentText">
    <w:name w:val="annotation text"/>
    <w:basedOn w:val="Normal"/>
    <w:link w:val="CommentTextChar"/>
    <w:uiPriority w:val="99"/>
    <w:semiHidden/>
    <w:unhideWhenUsed/>
    <w:rsid w:val="00235365"/>
    <w:rPr>
      <w:sz w:val="20"/>
      <w:szCs w:val="20"/>
    </w:rPr>
  </w:style>
  <w:style w:type="character" w:customStyle="1" w:styleId="CommentTextChar">
    <w:name w:val="Comment Text Char"/>
    <w:basedOn w:val="DefaultParagraphFont"/>
    <w:link w:val="CommentText"/>
    <w:uiPriority w:val="99"/>
    <w:semiHidden/>
    <w:rsid w:val="00235365"/>
    <w:rPr>
      <w:rFonts w:ascii="Cambria" w:eastAsia="Times New Roman" w:hAnsi="Cambria" w:cs="Cambria"/>
      <w:sz w:val="20"/>
      <w:szCs w:val="20"/>
      <w:lang w:val="es-ES_tradnl"/>
    </w:rPr>
  </w:style>
  <w:style w:type="paragraph" w:styleId="CommentSubject">
    <w:name w:val="annotation subject"/>
    <w:basedOn w:val="CommentText"/>
    <w:next w:val="CommentText"/>
    <w:link w:val="CommentSubjectChar"/>
    <w:uiPriority w:val="99"/>
    <w:semiHidden/>
    <w:unhideWhenUsed/>
    <w:rsid w:val="00235365"/>
    <w:rPr>
      <w:b/>
      <w:bCs/>
    </w:rPr>
  </w:style>
  <w:style w:type="character" w:customStyle="1" w:styleId="CommentSubjectChar">
    <w:name w:val="Comment Subject Char"/>
    <w:basedOn w:val="CommentTextChar"/>
    <w:link w:val="CommentSubject"/>
    <w:uiPriority w:val="99"/>
    <w:semiHidden/>
    <w:rsid w:val="00235365"/>
    <w:rPr>
      <w:rFonts w:ascii="Cambria" w:eastAsia="Times New Roman" w:hAnsi="Cambria" w:cs="Cambria"/>
      <w:b/>
      <w:bCs/>
      <w:sz w:val="20"/>
      <w:szCs w:val="20"/>
      <w:lang w:val="es-ES_tradnl"/>
    </w:rPr>
  </w:style>
  <w:style w:type="paragraph" w:styleId="NoSpacing">
    <w:name w:val="No Spacing"/>
    <w:link w:val="NoSpacingChar"/>
    <w:uiPriority w:val="1"/>
    <w:qFormat/>
    <w:rsid w:val="00BB21FC"/>
    <w:pPr>
      <w:spacing w:after="0" w:line="240" w:lineRule="auto"/>
    </w:pPr>
    <w:rPr>
      <w:rFonts w:ascii="Calibri" w:eastAsia="Calibri" w:hAnsi="Calibri" w:cs="Times New Roman"/>
      <w:lang w:val="es-DO"/>
    </w:rPr>
  </w:style>
  <w:style w:type="character" w:customStyle="1" w:styleId="NoSpacingChar">
    <w:name w:val="No Spacing Char"/>
    <w:link w:val="NoSpacing"/>
    <w:uiPriority w:val="1"/>
    <w:rsid w:val="00BB21FC"/>
    <w:rPr>
      <w:rFonts w:ascii="Calibri" w:eastAsia="Calibri" w:hAnsi="Calibri" w:cs="Times New Roman"/>
      <w:lang w:val="es-DO"/>
    </w:rPr>
  </w:style>
  <w:style w:type="paragraph" w:styleId="NormalWeb">
    <w:name w:val="Normal (Web)"/>
    <w:basedOn w:val="Normal"/>
    <w:uiPriority w:val="99"/>
    <w:semiHidden/>
    <w:unhideWhenUsed/>
    <w:rsid w:val="00D6263E"/>
    <w:pPr>
      <w:spacing w:before="100" w:beforeAutospacing="1" w:after="100" w:afterAutospacing="1"/>
    </w:pPr>
    <w:rPr>
      <w:rFonts w:ascii="Times New Roman" w:hAnsi="Times New Roman" w:cs="Times New Roman"/>
      <w:lang w:val="es-DO" w:eastAsia="es-DO"/>
    </w:rPr>
  </w:style>
  <w:style w:type="table" w:styleId="TableGrid">
    <w:name w:val="Table Grid"/>
    <w:basedOn w:val="TableNormal"/>
    <w:rsid w:val="00095F8A"/>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Geneva 9 Char,Font: Geneva 9 Char,Boston 10 Char,f Char"/>
    <w:link w:val="FootnoteText"/>
    <w:uiPriority w:val="99"/>
    <w:locked/>
    <w:rsid w:val="00CF0FE6"/>
    <w:rPr>
      <w:rFonts w:ascii="Yu Mincho" w:hAnsi="Yu Mincho"/>
      <w:sz w:val="24"/>
      <w:szCs w:val="24"/>
      <w:lang w:val="es-ES_tradnl" w:eastAsia="es-ES"/>
    </w:rPr>
  </w:style>
  <w:style w:type="paragraph" w:styleId="FootnoteText">
    <w:name w:val="footnote text"/>
    <w:aliases w:val="Geneva 9,Font: Geneva 9,Boston 10,f"/>
    <w:basedOn w:val="Normal"/>
    <w:link w:val="FootnoteTextChar"/>
    <w:uiPriority w:val="99"/>
    <w:unhideWhenUsed/>
    <w:rsid w:val="00CF0FE6"/>
    <w:pPr>
      <w:spacing w:after="0"/>
    </w:pPr>
    <w:rPr>
      <w:rFonts w:ascii="Yu Mincho" w:eastAsiaTheme="minorHAnsi" w:hAnsi="Yu Mincho" w:cstheme="minorBidi"/>
      <w:lang w:eastAsia="es-ES"/>
    </w:rPr>
  </w:style>
  <w:style w:type="character" w:customStyle="1" w:styleId="FootnoteTextChar1">
    <w:name w:val="Footnote Text Char1"/>
    <w:basedOn w:val="DefaultParagraphFont"/>
    <w:uiPriority w:val="99"/>
    <w:semiHidden/>
    <w:rsid w:val="00CF0FE6"/>
    <w:rPr>
      <w:rFonts w:ascii="Cambria" w:eastAsia="Times New Roman" w:hAnsi="Cambria" w:cs="Cambria"/>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7215">
      <w:bodyDiv w:val="1"/>
      <w:marLeft w:val="0"/>
      <w:marRight w:val="0"/>
      <w:marTop w:val="0"/>
      <w:marBottom w:val="0"/>
      <w:divBdr>
        <w:top w:val="none" w:sz="0" w:space="0" w:color="auto"/>
        <w:left w:val="none" w:sz="0" w:space="0" w:color="auto"/>
        <w:bottom w:val="none" w:sz="0" w:space="0" w:color="auto"/>
        <w:right w:val="none" w:sz="0" w:space="0" w:color="auto"/>
      </w:divBdr>
    </w:div>
    <w:div w:id="508953456">
      <w:bodyDiv w:val="1"/>
      <w:marLeft w:val="0"/>
      <w:marRight w:val="0"/>
      <w:marTop w:val="0"/>
      <w:marBottom w:val="0"/>
      <w:divBdr>
        <w:top w:val="none" w:sz="0" w:space="0" w:color="auto"/>
        <w:left w:val="none" w:sz="0" w:space="0" w:color="auto"/>
        <w:bottom w:val="none" w:sz="0" w:space="0" w:color="auto"/>
        <w:right w:val="none" w:sz="0" w:space="0" w:color="auto"/>
      </w:divBdr>
    </w:div>
    <w:div w:id="1006447409">
      <w:bodyDiv w:val="1"/>
      <w:marLeft w:val="0"/>
      <w:marRight w:val="0"/>
      <w:marTop w:val="0"/>
      <w:marBottom w:val="0"/>
      <w:divBdr>
        <w:top w:val="none" w:sz="0" w:space="0" w:color="auto"/>
        <w:left w:val="none" w:sz="0" w:space="0" w:color="auto"/>
        <w:bottom w:val="none" w:sz="0" w:space="0" w:color="auto"/>
        <w:right w:val="none" w:sz="0" w:space="0" w:color="auto"/>
      </w:divBdr>
    </w:div>
    <w:div w:id="142044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quisiciones.do@undp.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ocoa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b54dc9-395d-44a8-a6e1-f500d27c8a6b">
      <Terms xmlns="http://schemas.microsoft.com/office/infopath/2007/PartnerControls"/>
    </lcf76f155ced4ddcb4097134ff3c332f>
    <TaxCatchAll xmlns="a997fcdc-8756-446c-9beb-730b6e8446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C6EB276FFA9544B062157CF5E27EB4" ma:contentTypeVersion="16" ma:contentTypeDescription="Create a new document." ma:contentTypeScope="" ma:versionID="8400d2be493a06480a62b85168d2a61a">
  <xsd:schema xmlns:xsd="http://www.w3.org/2001/XMLSchema" xmlns:xs="http://www.w3.org/2001/XMLSchema" xmlns:p="http://schemas.microsoft.com/office/2006/metadata/properties" xmlns:ns2="18b54dc9-395d-44a8-a6e1-f500d27c8a6b" xmlns:ns3="a997fcdc-8756-446c-9beb-730b6e844683" targetNamespace="http://schemas.microsoft.com/office/2006/metadata/properties" ma:root="true" ma:fieldsID="5bbad130b4d489dee7472b1b81fa133e" ns2:_="" ns3:_="">
    <xsd:import namespace="18b54dc9-395d-44a8-a6e1-f500d27c8a6b"/>
    <xsd:import namespace="a997fcdc-8756-446c-9beb-730b6e8446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54dc9-395d-44a8-a6e1-f500d27c8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97fcdc-8756-446c-9beb-730b6e8446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d68834-8b0c-43d0-9331-f2aaf030169d}" ma:internalName="TaxCatchAll" ma:showField="CatchAllData" ma:web="a997fcdc-8756-446c-9beb-730b6e8446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29CD42-CD58-484E-A3FF-BED441207C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85ED46-C947-4A02-B944-9608F8135F65}">
  <ds:schemaRefs>
    <ds:schemaRef ds:uri="http://schemas.microsoft.com/sharepoint/v3/contenttype/forms"/>
  </ds:schemaRefs>
</ds:datastoreItem>
</file>

<file path=customXml/itemProps3.xml><?xml version="1.0" encoding="utf-8"?>
<ds:datastoreItem xmlns:ds="http://schemas.openxmlformats.org/officeDocument/2006/customXml" ds:itemID="{317798B1-11A1-493B-9842-F0346616B6D7}"/>
</file>

<file path=docProps/app.xml><?xml version="1.0" encoding="utf-8"?>
<Properties xmlns="http://schemas.openxmlformats.org/officeDocument/2006/extended-properties" xmlns:vt="http://schemas.openxmlformats.org/officeDocument/2006/docPropsVTypes">
  <Template>Normal</Template>
  <TotalTime>1</TotalTime>
  <Pages>8</Pages>
  <Words>2504</Words>
  <Characters>13773</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Fernandez</dc:creator>
  <cp:keywords/>
  <dc:description/>
  <cp:lastModifiedBy>Elisa Morey</cp:lastModifiedBy>
  <cp:revision>2</cp:revision>
  <cp:lastPrinted>2018-03-26T16:34:00Z</cp:lastPrinted>
  <dcterms:created xsi:type="dcterms:W3CDTF">2022-09-13T02:13:00Z</dcterms:created>
  <dcterms:modified xsi:type="dcterms:W3CDTF">2022-09-13T02:13:00Z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0x0101001CC6EB276FFA9544B062157CF5E27EB4</vt:lpwstr>
  </property>
  <property fmtid="{D5CDD505-2E9C-101B-9397-08002B2CF9AE}" pid="3" name="MediaServiceImageTags">
    <vt:lpwstr/>
  </property>
</Properties>
</file>