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AC8A" w14:textId="77777777" w:rsidR="008737CE" w:rsidRPr="00AF4578" w:rsidRDefault="004769BF">
      <w:pPr>
        <w:pBdr>
          <w:top w:val="single" w:sz="15" w:space="0" w:color="000000"/>
          <w:left w:val="single" w:sz="15" w:space="0" w:color="000000"/>
          <w:bottom w:val="single" w:sz="15" w:space="0" w:color="000000"/>
          <w:right w:val="single" w:sz="15" w:space="0" w:color="000000"/>
        </w:pBdr>
        <w:spacing w:after="265"/>
        <w:ind w:left="0" w:right="1011" w:firstLine="0"/>
        <w:jc w:val="center"/>
        <w:rPr>
          <w:lang w:val="fr-FR"/>
        </w:rPr>
      </w:pPr>
      <w:r w:rsidRPr="00AF4578">
        <w:rPr>
          <w:sz w:val="12"/>
          <w:lang w:val="fr-FR"/>
        </w:rPr>
        <w:t xml:space="preserve"> </w:t>
      </w:r>
    </w:p>
    <w:p w14:paraId="3B42E939" w14:textId="77777777" w:rsidR="008737CE" w:rsidRPr="00A026F1" w:rsidRDefault="004769BF">
      <w:pPr>
        <w:pBdr>
          <w:top w:val="single" w:sz="15" w:space="0" w:color="000000"/>
          <w:left w:val="single" w:sz="15" w:space="0" w:color="000000"/>
          <w:bottom w:val="single" w:sz="15" w:space="0" w:color="000000"/>
          <w:right w:val="single" w:sz="15" w:space="0" w:color="000000"/>
        </w:pBdr>
        <w:spacing w:after="177"/>
        <w:ind w:left="0" w:right="1011" w:firstLine="0"/>
        <w:jc w:val="center"/>
        <w:rPr>
          <w:b/>
          <w:lang w:val="fr-FR"/>
        </w:rPr>
      </w:pPr>
      <w:r w:rsidRPr="00A026F1">
        <w:rPr>
          <w:b/>
          <w:lang w:val="fr-FR"/>
        </w:rPr>
        <w:t xml:space="preserve">TERMES DE REFERENCE </w:t>
      </w:r>
    </w:p>
    <w:p w14:paraId="10FA074D" w14:textId="07A59E28" w:rsidR="008737CE" w:rsidRPr="00B53CA5" w:rsidRDefault="004769BF">
      <w:pPr>
        <w:pBdr>
          <w:top w:val="single" w:sz="15" w:space="0" w:color="000000"/>
          <w:left w:val="single" w:sz="15" w:space="0" w:color="000000"/>
          <w:bottom w:val="single" w:sz="15" w:space="0" w:color="000000"/>
          <w:right w:val="single" w:sz="15" w:space="0" w:color="000000"/>
        </w:pBdr>
        <w:spacing w:after="191"/>
        <w:ind w:left="0" w:right="1011" w:firstLine="0"/>
        <w:jc w:val="left"/>
        <w:rPr>
          <w:lang w:val="fr-FR"/>
        </w:rPr>
      </w:pPr>
      <w:r w:rsidRPr="00B53CA5">
        <w:rPr>
          <w:lang w:val="fr-FR"/>
        </w:rPr>
        <w:t xml:space="preserve">Recrutement </w:t>
      </w:r>
      <w:r w:rsidR="00B53CA5">
        <w:rPr>
          <w:lang w:val="fr-FR"/>
        </w:rPr>
        <w:t xml:space="preserve">d’un consultant </w:t>
      </w:r>
      <w:r w:rsidR="001814EE">
        <w:rPr>
          <w:lang w:val="fr-FR"/>
        </w:rPr>
        <w:t>national</w:t>
      </w:r>
      <w:r w:rsidR="00B53CA5">
        <w:rPr>
          <w:lang w:val="fr-FR"/>
        </w:rPr>
        <w:t xml:space="preserve"> </w:t>
      </w:r>
      <w:r w:rsidR="001814EE">
        <w:rPr>
          <w:lang w:val="fr-FR"/>
        </w:rPr>
        <w:t>en appui à l’évaluation et la révision d</w:t>
      </w:r>
      <w:r w:rsidRPr="00B53CA5">
        <w:rPr>
          <w:lang w:val="fr-FR"/>
        </w:rPr>
        <w:t xml:space="preserve">e la politique nationale de la jeunesse – PNJ - </w:t>
      </w:r>
    </w:p>
    <w:p w14:paraId="62F6D569" w14:textId="77777777" w:rsidR="008737CE" w:rsidRPr="00B53CA5" w:rsidRDefault="004769BF">
      <w:pPr>
        <w:spacing w:after="0"/>
        <w:ind w:left="0" w:right="0" w:firstLine="0"/>
        <w:jc w:val="left"/>
        <w:rPr>
          <w:lang w:val="fr-FR"/>
        </w:rPr>
      </w:pPr>
      <w:r w:rsidRPr="00B53CA5">
        <w:rPr>
          <w:sz w:val="14"/>
          <w:lang w:val="fr-FR"/>
        </w:rPr>
        <w:t xml:space="preserve"> </w:t>
      </w:r>
    </w:p>
    <w:tbl>
      <w:tblPr>
        <w:tblStyle w:val="TableGrid"/>
        <w:tblW w:w="9344" w:type="dxa"/>
        <w:tblInd w:w="7" w:type="dxa"/>
        <w:tblCellMar>
          <w:top w:w="48" w:type="dxa"/>
          <w:left w:w="108" w:type="dxa"/>
          <w:right w:w="10" w:type="dxa"/>
        </w:tblCellMar>
        <w:tblLook w:val="04A0" w:firstRow="1" w:lastRow="0" w:firstColumn="1" w:lastColumn="0" w:noHBand="0" w:noVBand="1"/>
      </w:tblPr>
      <w:tblGrid>
        <w:gridCol w:w="9344"/>
      </w:tblGrid>
      <w:tr w:rsidR="008737CE" w:rsidRPr="00A17850" w14:paraId="0DF76541" w14:textId="77777777" w:rsidTr="00E84F75">
        <w:trPr>
          <w:trHeight w:val="442"/>
        </w:trPr>
        <w:tc>
          <w:tcPr>
            <w:tcW w:w="9344" w:type="dxa"/>
            <w:tcBorders>
              <w:top w:val="single" w:sz="4" w:space="0" w:color="000080"/>
              <w:left w:val="single" w:sz="4" w:space="0" w:color="000080"/>
              <w:bottom w:val="single" w:sz="4" w:space="0" w:color="000080"/>
              <w:right w:val="nil"/>
            </w:tcBorders>
            <w:shd w:val="clear" w:color="auto" w:fill="000080"/>
            <w:vAlign w:val="center"/>
          </w:tcPr>
          <w:p w14:paraId="3265FF14" w14:textId="77777777" w:rsidR="008737CE" w:rsidRPr="00B53CA5" w:rsidRDefault="004769BF">
            <w:pPr>
              <w:spacing w:after="0"/>
              <w:ind w:left="398" w:right="0" w:firstLine="0"/>
              <w:jc w:val="left"/>
              <w:rPr>
                <w:lang w:val="fr-FR"/>
              </w:rPr>
            </w:pPr>
            <w:r w:rsidRPr="00B53CA5">
              <w:rPr>
                <w:color w:val="FFFFFF"/>
                <w:lang w:val="fr-FR"/>
              </w:rPr>
              <w:t>I.</w:t>
            </w:r>
            <w:r w:rsidRPr="00B53CA5">
              <w:rPr>
                <w:rFonts w:ascii="Arial" w:eastAsia="Arial" w:hAnsi="Arial" w:cs="Arial"/>
                <w:b/>
                <w:color w:val="FFFFFF"/>
                <w:lang w:val="fr-FR"/>
              </w:rPr>
              <w:t xml:space="preserve"> </w:t>
            </w:r>
            <w:r w:rsidRPr="00B53CA5">
              <w:rPr>
                <w:color w:val="FFFFFF"/>
                <w:lang w:val="fr-FR"/>
              </w:rPr>
              <w:t xml:space="preserve">Information sur la position </w:t>
            </w:r>
          </w:p>
        </w:tc>
      </w:tr>
      <w:tr w:rsidR="008737CE" w:rsidRPr="00A17850" w14:paraId="28F0C6C6" w14:textId="77777777" w:rsidTr="00E84F75">
        <w:trPr>
          <w:trHeight w:val="4465"/>
        </w:trPr>
        <w:tc>
          <w:tcPr>
            <w:tcW w:w="9344" w:type="dxa"/>
            <w:tcBorders>
              <w:top w:val="single" w:sz="4" w:space="0" w:color="000080"/>
              <w:left w:val="single" w:sz="4" w:space="0" w:color="000080"/>
              <w:bottom w:val="single" w:sz="4" w:space="0" w:color="000080"/>
              <w:right w:val="single" w:sz="4" w:space="0" w:color="000080"/>
            </w:tcBorders>
            <w:vAlign w:val="bottom"/>
          </w:tcPr>
          <w:tbl>
            <w:tblPr>
              <w:tblStyle w:val="TableGrid"/>
              <w:tblW w:w="9210" w:type="dxa"/>
              <w:tblInd w:w="5" w:type="dxa"/>
              <w:tblCellMar>
                <w:top w:w="48" w:type="dxa"/>
                <w:left w:w="106" w:type="dxa"/>
                <w:right w:w="115" w:type="dxa"/>
              </w:tblCellMar>
              <w:tblLook w:val="04A0" w:firstRow="1" w:lastRow="0" w:firstColumn="1" w:lastColumn="0" w:noHBand="0" w:noVBand="1"/>
            </w:tblPr>
            <w:tblGrid>
              <w:gridCol w:w="3965"/>
              <w:gridCol w:w="5245"/>
            </w:tblGrid>
            <w:tr w:rsidR="008737CE" w:rsidRPr="00A17850" w14:paraId="154D3249" w14:textId="77777777">
              <w:trPr>
                <w:trHeight w:val="629"/>
              </w:trPr>
              <w:tc>
                <w:tcPr>
                  <w:tcW w:w="3965" w:type="dxa"/>
                  <w:tcBorders>
                    <w:top w:val="single" w:sz="4" w:space="0" w:color="000000"/>
                    <w:left w:val="single" w:sz="4" w:space="0" w:color="000000"/>
                    <w:bottom w:val="single" w:sz="4" w:space="0" w:color="000000"/>
                    <w:right w:val="single" w:sz="4" w:space="0" w:color="000000"/>
                  </w:tcBorders>
                </w:tcPr>
                <w:p w14:paraId="66F430EC" w14:textId="77777777" w:rsidR="008737CE" w:rsidRPr="00B53CA5" w:rsidRDefault="004769BF">
                  <w:pPr>
                    <w:spacing w:after="0"/>
                    <w:ind w:left="2" w:right="0" w:firstLine="0"/>
                    <w:jc w:val="left"/>
                    <w:rPr>
                      <w:lang w:val="fr-FR"/>
                    </w:rPr>
                  </w:pPr>
                  <w:r w:rsidRPr="00B53CA5">
                    <w:rPr>
                      <w:lang w:val="fr-FR"/>
                    </w:rPr>
                    <w:t xml:space="preserve">Intitulé du Poste/Service attendu  </w:t>
                  </w:r>
                </w:p>
              </w:tc>
              <w:tc>
                <w:tcPr>
                  <w:tcW w:w="5245" w:type="dxa"/>
                  <w:tcBorders>
                    <w:top w:val="single" w:sz="4" w:space="0" w:color="000000"/>
                    <w:left w:val="single" w:sz="4" w:space="0" w:color="000000"/>
                    <w:bottom w:val="single" w:sz="4" w:space="0" w:color="000000"/>
                    <w:right w:val="single" w:sz="4" w:space="0" w:color="000000"/>
                  </w:tcBorders>
                </w:tcPr>
                <w:p w14:paraId="4105C46C" w14:textId="1B3860CE" w:rsidR="008737CE" w:rsidRPr="00B53CA5" w:rsidRDefault="004769BF">
                  <w:pPr>
                    <w:spacing w:after="0"/>
                    <w:ind w:left="0" w:right="0" w:firstLine="0"/>
                    <w:jc w:val="left"/>
                    <w:rPr>
                      <w:lang w:val="fr-FR"/>
                    </w:rPr>
                  </w:pPr>
                  <w:r w:rsidRPr="00B53CA5">
                    <w:rPr>
                      <w:lang w:val="fr-FR"/>
                    </w:rPr>
                    <w:t>Consultant</w:t>
                  </w:r>
                  <w:r w:rsidR="00F303B3">
                    <w:rPr>
                      <w:lang w:val="fr-FR"/>
                    </w:rPr>
                    <w:t xml:space="preserve"> </w:t>
                  </w:r>
                  <w:r w:rsidR="001814EE">
                    <w:rPr>
                      <w:lang w:val="fr-FR"/>
                    </w:rPr>
                    <w:t>n</w:t>
                  </w:r>
                  <w:r w:rsidRPr="00B53CA5">
                    <w:rPr>
                      <w:lang w:val="fr-FR"/>
                    </w:rPr>
                    <w:t xml:space="preserve">ational pour l’élaboration de la politique nationale de la jeunesse – PNJ </w:t>
                  </w:r>
                </w:p>
              </w:tc>
            </w:tr>
            <w:tr w:rsidR="008737CE" w14:paraId="782227C5" w14:textId="77777777">
              <w:trPr>
                <w:trHeight w:val="278"/>
              </w:trPr>
              <w:tc>
                <w:tcPr>
                  <w:tcW w:w="3965" w:type="dxa"/>
                  <w:tcBorders>
                    <w:top w:val="single" w:sz="4" w:space="0" w:color="000000"/>
                    <w:left w:val="single" w:sz="4" w:space="0" w:color="000000"/>
                    <w:bottom w:val="single" w:sz="4" w:space="0" w:color="000000"/>
                    <w:right w:val="single" w:sz="4" w:space="0" w:color="000000"/>
                  </w:tcBorders>
                </w:tcPr>
                <w:p w14:paraId="4D8EE632" w14:textId="77777777" w:rsidR="008737CE" w:rsidRDefault="004769BF">
                  <w:pPr>
                    <w:spacing w:after="0"/>
                    <w:ind w:left="2" w:right="0" w:firstLine="0"/>
                    <w:jc w:val="left"/>
                  </w:pPr>
                  <w:r>
                    <w:t xml:space="preserve">Nombre de postes  </w:t>
                  </w:r>
                </w:p>
              </w:tc>
              <w:tc>
                <w:tcPr>
                  <w:tcW w:w="5245" w:type="dxa"/>
                  <w:tcBorders>
                    <w:top w:val="single" w:sz="4" w:space="0" w:color="000000"/>
                    <w:left w:val="single" w:sz="4" w:space="0" w:color="000000"/>
                    <w:bottom w:val="single" w:sz="4" w:space="0" w:color="000000"/>
                    <w:right w:val="single" w:sz="4" w:space="0" w:color="000000"/>
                  </w:tcBorders>
                </w:tcPr>
                <w:p w14:paraId="7E21F788" w14:textId="77777777" w:rsidR="008737CE" w:rsidRDefault="00052EFE">
                  <w:pPr>
                    <w:spacing w:after="0"/>
                    <w:ind w:left="0" w:right="0" w:firstLine="0"/>
                    <w:jc w:val="left"/>
                  </w:pPr>
                  <w:r>
                    <w:t>1</w:t>
                  </w:r>
                </w:p>
              </w:tc>
            </w:tr>
            <w:tr w:rsidR="008737CE" w14:paraId="253338BB" w14:textId="77777777">
              <w:trPr>
                <w:trHeight w:val="547"/>
              </w:trPr>
              <w:tc>
                <w:tcPr>
                  <w:tcW w:w="3965" w:type="dxa"/>
                  <w:tcBorders>
                    <w:top w:val="single" w:sz="4" w:space="0" w:color="000000"/>
                    <w:left w:val="single" w:sz="4" w:space="0" w:color="000000"/>
                    <w:bottom w:val="single" w:sz="4" w:space="0" w:color="000000"/>
                    <w:right w:val="single" w:sz="4" w:space="0" w:color="000000"/>
                  </w:tcBorders>
                </w:tcPr>
                <w:p w14:paraId="515CAB13" w14:textId="77777777" w:rsidR="008737CE" w:rsidRPr="00B53CA5" w:rsidRDefault="004769BF">
                  <w:pPr>
                    <w:spacing w:after="0"/>
                    <w:ind w:left="2" w:right="0" w:firstLine="0"/>
                    <w:jc w:val="left"/>
                    <w:rPr>
                      <w:lang w:val="fr-FR"/>
                    </w:rPr>
                  </w:pPr>
                  <w:r w:rsidRPr="00B53CA5">
                    <w:rPr>
                      <w:lang w:val="fr-FR"/>
                    </w:rPr>
                    <w:t xml:space="preserve">Niveau du (des) Poste (s) ou Prestation (Local ou International)  </w:t>
                  </w:r>
                </w:p>
              </w:tc>
              <w:tc>
                <w:tcPr>
                  <w:tcW w:w="5245" w:type="dxa"/>
                  <w:tcBorders>
                    <w:top w:val="single" w:sz="4" w:space="0" w:color="000000"/>
                    <w:left w:val="single" w:sz="4" w:space="0" w:color="000000"/>
                    <w:bottom w:val="single" w:sz="4" w:space="0" w:color="000000"/>
                    <w:right w:val="single" w:sz="4" w:space="0" w:color="000000"/>
                  </w:tcBorders>
                </w:tcPr>
                <w:p w14:paraId="6B1BD124" w14:textId="70B1518B" w:rsidR="008737CE" w:rsidRDefault="001814EE">
                  <w:pPr>
                    <w:spacing w:after="0"/>
                    <w:ind w:left="0" w:right="0" w:firstLine="0"/>
                    <w:jc w:val="left"/>
                  </w:pPr>
                  <w:r>
                    <w:t>nat</w:t>
                  </w:r>
                  <w:r w:rsidR="004769BF">
                    <w:t xml:space="preserve">ional </w:t>
                  </w:r>
                </w:p>
              </w:tc>
            </w:tr>
            <w:tr w:rsidR="008737CE" w14:paraId="51B415A5" w14:textId="77777777">
              <w:trPr>
                <w:trHeight w:val="548"/>
              </w:trPr>
              <w:tc>
                <w:tcPr>
                  <w:tcW w:w="3965" w:type="dxa"/>
                  <w:tcBorders>
                    <w:top w:val="single" w:sz="4" w:space="0" w:color="000000"/>
                    <w:left w:val="single" w:sz="4" w:space="0" w:color="000000"/>
                    <w:bottom w:val="single" w:sz="4" w:space="0" w:color="000000"/>
                    <w:right w:val="single" w:sz="4" w:space="0" w:color="000000"/>
                  </w:tcBorders>
                </w:tcPr>
                <w:p w14:paraId="39143214" w14:textId="77777777" w:rsidR="008737CE" w:rsidRPr="00B53CA5" w:rsidRDefault="004769BF">
                  <w:pPr>
                    <w:spacing w:after="0"/>
                    <w:ind w:left="2" w:right="0" w:firstLine="0"/>
                    <w:jc w:val="left"/>
                    <w:rPr>
                      <w:lang w:val="fr-FR"/>
                    </w:rPr>
                  </w:pPr>
                  <w:r w:rsidRPr="001814EE">
                    <w:rPr>
                      <w:lang w:val="fr-FR"/>
                    </w:rPr>
                    <w:t>Nature de la consultation (Support/ Substance)</w:t>
                  </w:r>
                  <w:r w:rsidRPr="00B53CA5">
                    <w:rPr>
                      <w:lang w:val="fr-FR"/>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6D2026E" w14:textId="77777777" w:rsidR="008737CE" w:rsidRDefault="004769BF">
                  <w:pPr>
                    <w:spacing w:after="0"/>
                    <w:ind w:left="0" w:right="0" w:firstLine="0"/>
                    <w:jc w:val="left"/>
                  </w:pPr>
                  <w:r>
                    <w:t xml:space="preserve">Support </w:t>
                  </w:r>
                </w:p>
              </w:tc>
            </w:tr>
            <w:tr w:rsidR="008737CE" w14:paraId="3E41226C" w14:textId="77777777">
              <w:trPr>
                <w:trHeight w:val="278"/>
              </w:trPr>
              <w:tc>
                <w:tcPr>
                  <w:tcW w:w="3965" w:type="dxa"/>
                  <w:tcBorders>
                    <w:top w:val="single" w:sz="4" w:space="0" w:color="000000"/>
                    <w:left w:val="single" w:sz="4" w:space="0" w:color="000000"/>
                    <w:bottom w:val="single" w:sz="4" w:space="0" w:color="000000"/>
                    <w:right w:val="single" w:sz="4" w:space="0" w:color="000000"/>
                  </w:tcBorders>
                </w:tcPr>
                <w:p w14:paraId="04AF3310" w14:textId="77777777" w:rsidR="008737CE" w:rsidRDefault="004769BF">
                  <w:pPr>
                    <w:spacing w:after="0"/>
                    <w:ind w:left="2" w:right="0" w:firstLine="0"/>
                    <w:jc w:val="left"/>
                  </w:pPr>
                  <w:r>
                    <w:t xml:space="preserve">Type de contrat </w:t>
                  </w:r>
                </w:p>
              </w:tc>
              <w:tc>
                <w:tcPr>
                  <w:tcW w:w="5245" w:type="dxa"/>
                  <w:tcBorders>
                    <w:top w:val="single" w:sz="4" w:space="0" w:color="000000"/>
                    <w:left w:val="single" w:sz="4" w:space="0" w:color="000000"/>
                    <w:bottom w:val="single" w:sz="4" w:space="0" w:color="000000"/>
                    <w:right w:val="single" w:sz="4" w:space="0" w:color="000000"/>
                  </w:tcBorders>
                </w:tcPr>
                <w:p w14:paraId="5046914D" w14:textId="77777777" w:rsidR="008737CE" w:rsidRDefault="004769BF">
                  <w:pPr>
                    <w:spacing w:after="0"/>
                    <w:ind w:left="0" w:right="0" w:firstLine="0"/>
                    <w:jc w:val="left"/>
                  </w:pPr>
                  <w:r>
                    <w:t xml:space="preserve">Contrat individuel </w:t>
                  </w:r>
                </w:p>
              </w:tc>
            </w:tr>
            <w:tr w:rsidR="008737CE" w:rsidRPr="00A17850" w14:paraId="0512AF51" w14:textId="77777777">
              <w:trPr>
                <w:trHeight w:val="547"/>
              </w:trPr>
              <w:tc>
                <w:tcPr>
                  <w:tcW w:w="3965" w:type="dxa"/>
                  <w:tcBorders>
                    <w:top w:val="single" w:sz="4" w:space="0" w:color="000000"/>
                    <w:left w:val="single" w:sz="4" w:space="0" w:color="000000"/>
                    <w:bottom w:val="single" w:sz="4" w:space="0" w:color="000000"/>
                    <w:right w:val="single" w:sz="4" w:space="0" w:color="000000"/>
                  </w:tcBorders>
                </w:tcPr>
                <w:p w14:paraId="63D24ED7" w14:textId="77777777" w:rsidR="008737CE" w:rsidRPr="00B53CA5" w:rsidRDefault="004769BF">
                  <w:pPr>
                    <w:spacing w:after="0"/>
                    <w:ind w:left="2" w:right="0" w:firstLine="0"/>
                    <w:jc w:val="left"/>
                    <w:rPr>
                      <w:lang w:val="fr-FR"/>
                    </w:rPr>
                  </w:pPr>
                  <w:r w:rsidRPr="00B53CA5">
                    <w:rPr>
                      <w:lang w:val="fr-FR"/>
                    </w:rPr>
                    <w:t xml:space="preserve">Type d’affectation (Home based ou sur site) </w:t>
                  </w:r>
                </w:p>
              </w:tc>
              <w:tc>
                <w:tcPr>
                  <w:tcW w:w="5245" w:type="dxa"/>
                  <w:tcBorders>
                    <w:top w:val="single" w:sz="4" w:space="0" w:color="000000"/>
                    <w:left w:val="single" w:sz="4" w:space="0" w:color="000000"/>
                    <w:bottom w:val="single" w:sz="4" w:space="0" w:color="000000"/>
                    <w:right w:val="single" w:sz="4" w:space="0" w:color="000000"/>
                  </w:tcBorders>
                </w:tcPr>
                <w:p w14:paraId="1627847F" w14:textId="63C7C29F" w:rsidR="008737CE" w:rsidRPr="001814EE" w:rsidRDefault="004769BF">
                  <w:pPr>
                    <w:spacing w:after="0"/>
                    <w:ind w:left="0" w:right="0" w:firstLine="0"/>
                    <w:jc w:val="left"/>
                    <w:rPr>
                      <w:lang w:val="fr-FR"/>
                    </w:rPr>
                  </w:pPr>
                  <w:r w:rsidRPr="001814EE">
                    <w:rPr>
                      <w:lang w:val="fr-FR"/>
                    </w:rPr>
                    <w:t xml:space="preserve">Sur Site </w:t>
                  </w:r>
                  <w:r w:rsidR="001814EE">
                    <w:rPr>
                      <w:lang w:val="fr-FR"/>
                    </w:rPr>
                    <w:t>-</w:t>
                  </w:r>
                  <w:r w:rsidR="001814EE" w:rsidRPr="001814EE">
                    <w:rPr>
                      <w:lang w:val="fr-FR"/>
                    </w:rPr>
                    <w:t xml:space="preserve"> accueilli a</w:t>
                  </w:r>
                  <w:r w:rsidR="001814EE">
                    <w:rPr>
                      <w:lang w:val="fr-FR"/>
                    </w:rPr>
                    <w:t>u MJEJ</w:t>
                  </w:r>
                </w:p>
              </w:tc>
            </w:tr>
            <w:tr w:rsidR="008737CE" w14:paraId="15F310DC" w14:textId="77777777">
              <w:trPr>
                <w:trHeight w:val="278"/>
              </w:trPr>
              <w:tc>
                <w:tcPr>
                  <w:tcW w:w="3965" w:type="dxa"/>
                  <w:tcBorders>
                    <w:top w:val="single" w:sz="4" w:space="0" w:color="000000"/>
                    <w:left w:val="single" w:sz="4" w:space="0" w:color="000000"/>
                    <w:bottom w:val="single" w:sz="4" w:space="0" w:color="000000"/>
                    <w:right w:val="single" w:sz="4" w:space="0" w:color="000000"/>
                  </w:tcBorders>
                </w:tcPr>
                <w:p w14:paraId="38DC6C3A" w14:textId="77777777" w:rsidR="008737CE" w:rsidRDefault="004769BF">
                  <w:pPr>
                    <w:spacing w:after="0"/>
                    <w:ind w:left="2" w:right="0" w:firstLine="0"/>
                    <w:jc w:val="left"/>
                  </w:pPr>
                  <w:r>
                    <w:t xml:space="preserve">Lieu d'affectation  </w:t>
                  </w:r>
                </w:p>
              </w:tc>
              <w:tc>
                <w:tcPr>
                  <w:tcW w:w="5245" w:type="dxa"/>
                  <w:tcBorders>
                    <w:top w:val="single" w:sz="4" w:space="0" w:color="000000"/>
                    <w:left w:val="single" w:sz="4" w:space="0" w:color="000000"/>
                    <w:bottom w:val="single" w:sz="4" w:space="0" w:color="000000"/>
                    <w:right w:val="single" w:sz="4" w:space="0" w:color="000000"/>
                  </w:tcBorders>
                </w:tcPr>
                <w:p w14:paraId="7B30B094" w14:textId="77777777" w:rsidR="008737CE" w:rsidRDefault="004769BF">
                  <w:pPr>
                    <w:spacing w:after="0"/>
                    <w:ind w:left="0" w:right="0" w:firstLine="0"/>
                    <w:jc w:val="left"/>
                  </w:pPr>
                  <w:r>
                    <w:t xml:space="preserve">Conakry </w:t>
                  </w:r>
                </w:p>
              </w:tc>
            </w:tr>
            <w:tr w:rsidR="008737CE" w14:paraId="4593BDF6" w14:textId="77777777">
              <w:trPr>
                <w:trHeight w:val="278"/>
              </w:trPr>
              <w:tc>
                <w:tcPr>
                  <w:tcW w:w="3965" w:type="dxa"/>
                  <w:tcBorders>
                    <w:top w:val="single" w:sz="4" w:space="0" w:color="000000"/>
                    <w:left w:val="single" w:sz="4" w:space="0" w:color="000000"/>
                    <w:bottom w:val="single" w:sz="4" w:space="0" w:color="000000"/>
                    <w:right w:val="single" w:sz="4" w:space="0" w:color="000000"/>
                  </w:tcBorders>
                </w:tcPr>
                <w:p w14:paraId="28DA7B66" w14:textId="77777777" w:rsidR="008737CE" w:rsidRDefault="004769BF">
                  <w:pPr>
                    <w:spacing w:after="0"/>
                    <w:ind w:left="2" w:right="0" w:firstLine="0"/>
                    <w:jc w:val="left"/>
                  </w:pPr>
                  <w:r>
                    <w:t xml:space="preserve">Durée de la mission </w:t>
                  </w:r>
                </w:p>
              </w:tc>
              <w:tc>
                <w:tcPr>
                  <w:tcW w:w="5245" w:type="dxa"/>
                  <w:tcBorders>
                    <w:top w:val="single" w:sz="4" w:space="0" w:color="000000"/>
                    <w:left w:val="single" w:sz="4" w:space="0" w:color="000000"/>
                    <w:bottom w:val="single" w:sz="4" w:space="0" w:color="000000"/>
                    <w:right w:val="single" w:sz="4" w:space="0" w:color="000000"/>
                  </w:tcBorders>
                </w:tcPr>
                <w:p w14:paraId="60BCC9BA" w14:textId="0B8CFD62" w:rsidR="008737CE" w:rsidRDefault="00A17850">
                  <w:pPr>
                    <w:spacing w:after="0"/>
                    <w:ind w:left="0" w:right="0" w:firstLine="0"/>
                    <w:jc w:val="left"/>
                  </w:pPr>
                  <w:r>
                    <w:t>4</w:t>
                  </w:r>
                  <w:r w:rsidR="004769BF">
                    <w:t xml:space="preserve">0 jours ouvrables </w:t>
                  </w:r>
                </w:p>
              </w:tc>
            </w:tr>
            <w:tr w:rsidR="008737CE" w:rsidRPr="00A17850" w14:paraId="67931A6F" w14:textId="77777777">
              <w:trPr>
                <w:trHeight w:val="547"/>
              </w:trPr>
              <w:tc>
                <w:tcPr>
                  <w:tcW w:w="3965" w:type="dxa"/>
                  <w:tcBorders>
                    <w:top w:val="single" w:sz="4" w:space="0" w:color="000000"/>
                    <w:left w:val="single" w:sz="4" w:space="0" w:color="000000"/>
                    <w:bottom w:val="single" w:sz="4" w:space="0" w:color="000000"/>
                    <w:right w:val="single" w:sz="4" w:space="0" w:color="000000"/>
                  </w:tcBorders>
                </w:tcPr>
                <w:p w14:paraId="4FEB5497" w14:textId="77777777" w:rsidR="008737CE" w:rsidRPr="00B53CA5" w:rsidRDefault="004769BF">
                  <w:pPr>
                    <w:spacing w:after="0"/>
                    <w:ind w:left="2" w:right="0" w:firstLine="0"/>
                    <w:jc w:val="left"/>
                    <w:rPr>
                      <w:lang w:val="fr-FR"/>
                    </w:rPr>
                  </w:pPr>
                  <w:r w:rsidRPr="00B53CA5">
                    <w:rPr>
                      <w:lang w:val="fr-FR"/>
                    </w:rPr>
                    <w:t xml:space="preserve">Date estimative de démarrage de la mission  </w:t>
                  </w:r>
                </w:p>
              </w:tc>
              <w:tc>
                <w:tcPr>
                  <w:tcW w:w="5245" w:type="dxa"/>
                  <w:tcBorders>
                    <w:top w:val="single" w:sz="4" w:space="0" w:color="000000"/>
                    <w:left w:val="single" w:sz="4" w:space="0" w:color="000000"/>
                    <w:bottom w:val="single" w:sz="4" w:space="0" w:color="000000"/>
                    <w:right w:val="single" w:sz="4" w:space="0" w:color="000000"/>
                  </w:tcBorders>
                </w:tcPr>
                <w:p w14:paraId="121916F9" w14:textId="43A95FE2" w:rsidR="008737CE" w:rsidRPr="00A17850" w:rsidRDefault="008737CE">
                  <w:pPr>
                    <w:spacing w:after="0"/>
                    <w:ind w:left="0" w:right="0" w:firstLine="0"/>
                    <w:jc w:val="left"/>
                    <w:rPr>
                      <w:lang w:val="fr-FR"/>
                    </w:rPr>
                  </w:pPr>
                </w:p>
              </w:tc>
            </w:tr>
          </w:tbl>
          <w:p w14:paraId="1169F536" w14:textId="77777777" w:rsidR="008737CE" w:rsidRPr="00A17850" w:rsidRDefault="004769BF">
            <w:pPr>
              <w:spacing w:after="0"/>
              <w:ind w:left="0" w:right="0" w:firstLine="0"/>
              <w:jc w:val="left"/>
              <w:rPr>
                <w:lang w:val="fr-FR"/>
              </w:rPr>
            </w:pPr>
            <w:r w:rsidRPr="00A17850">
              <w:rPr>
                <w:sz w:val="21"/>
                <w:lang w:val="fr-FR"/>
              </w:rPr>
              <w:t xml:space="preserve"> </w:t>
            </w:r>
            <w:r w:rsidRPr="00A17850">
              <w:rPr>
                <w:sz w:val="21"/>
                <w:lang w:val="fr-FR"/>
              </w:rPr>
              <w:tab/>
              <w:t xml:space="preserve">  </w:t>
            </w:r>
          </w:p>
        </w:tc>
      </w:tr>
      <w:tr w:rsidR="008737CE" w:rsidRPr="00A17850" w14:paraId="69F3257A" w14:textId="77777777" w:rsidTr="00E84F75">
        <w:trPr>
          <w:trHeight w:val="358"/>
        </w:trPr>
        <w:tc>
          <w:tcPr>
            <w:tcW w:w="9344" w:type="dxa"/>
            <w:tcBorders>
              <w:top w:val="single" w:sz="4" w:space="0" w:color="000080"/>
              <w:left w:val="single" w:sz="4" w:space="0" w:color="000080"/>
              <w:bottom w:val="single" w:sz="4" w:space="0" w:color="000080"/>
              <w:right w:val="nil"/>
            </w:tcBorders>
            <w:shd w:val="clear" w:color="auto" w:fill="000080"/>
          </w:tcPr>
          <w:p w14:paraId="38066F93" w14:textId="77777777" w:rsidR="008737CE" w:rsidRPr="00B53CA5" w:rsidRDefault="004769BF">
            <w:pPr>
              <w:spacing w:after="0"/>
              <w:ind w:left="343" w:right="0" w:firstLine="0"/>
              <w:jc w:val="left"/>
              <w:rPr>
                <w:lang w:val="fr-FR"/>
              </w:rPr>
            </w:pPr>
            <w:r w:rsidRPr="00B53CA5">
              <w:rPr>
                <w:color w:val="FFFFFF"/>
                <w:lang w:val="fr-FR"/>
              </w:rPr>
              <w:t>II.</w:t>
            </w:r>
            <w:r w:rsidRPr="00B53CA5">
              <w:rPr>
                <w:rFonts w:ascii="Arial" w:eastAsia="Arial" w:hAnsi="Arial" w:cs="Arial"/>
                <w:b/>
                <w:color w:val="FFFFFF"/>
                <w:lang w:val="fr-FR"/>
              </w:rPr>
              <w:t xml:space="preserve"> </w:t>
            </w:r>
            <w:r w:rsidRPr="00B53CA5">
              <w:rPr>
                <w:color w:val="FFFFFF"/>
                <w:lang w:val="fr-FR"/>
              </w:rPr>
              <w:t xml:space="preserve">Contexte, Objectifs et descriptif de la mission  </w:t>
            </w:r>
          </w:p>
        </w:tc>
      </w:tr>
      <w:tr w:rsidR="008737CE" w:rsidRPr="00A17850" w14:paraId="73EC2D29" w14:textId="77777777" w:rsidTr="00E84F75">
        <w:trPr>
          <w:trHeight w:val="6874"/>
        </w:trPr>
        <w:tc>
          <w:tcPr>
            <w:tcW w:w="9344" w:type="dxa"/>
            <w:tcBorders>
              <w:top w:val="single" w:sz="4" w:space="0" w:color="000080"/>
              <w:left w:val="single" w:sz="4" w:space="0" w:color="000080"/>
              <w:bottom w:val="single" w:sz="4" w:space="0" w:color="000080"/>
              <w:right w:val="single" w:sz="4" w:space="0" w:color="000080"/>
            </w:tcBorders>
          </w:tcPr>
          <w:p w14:paraId="2FF1B9AC" w14:textId="61AF3C33" w:rsidR="008737CE" w:rsidRDefault="004769BF" w:rsidP="00A026F1">
            <w:pPr>
              <w:spacing w:after="0"/>
              <w:ind w:left="0" w:right="0" w:firstLine="0"/>
              <w:jc w:val="left"/>
              <w:rPr>
                <w:b/>
                <w:lang w:val="fr-FR"/>
              </w:rPr>
            </w:pPr>
            <w:r w:rsidRPr="00B53CA5">
              <w:rPr>
                <w:lang w:val="fr-FR"/>
              </w:rPr>
              <w:lastRenderedPageBreak/>
              <w:t xml:space="preserve">2.1. </w:t>
            </w:r>
            <w:r w:rsidRPr="00A026F1">
              <w:rPr>
                <w:b/>
                <w:lang w:val="fr-FR"/>
              </w:rPr>
              <w:t xml:space="preserve">CONTEXTE </w:t>
            </w:r>
          </w:p>
          <w:p w14:paraId="1AA54C2B" w14:textId="77777777" w:rsidR="008326A7" w:rsidRPr="00B53CA5" w:rsidRDefault="008326A7" w:rsidP="00A026F1">
            <w:pPr>
              <w:spacing w:after="0"/>
              <w:ind w:left="0" w:right="0" w:firstLine="0"/>
              <w:jc w:val="left"/>
              <w:rPr>
                <w:lang w:val="fr-FR"/>
              </w:rPr>
            </w:pPr>
          </w:p>
          <w:p w14:paraId="09901EF3" w14:textId="1E791BC9" w:rsidR="008326A7" w:rsidRPr="006934AD" w:rsidRDefault="008326A7" w:rsidP="008326A7">
            <w:pPr>
              <w:rPr>
                <w:rFonts w:cstheme="minorHAnsi"/>
                <w:lang w:val="fr-FR"/>
              </w:rPr>
            </w:pPr>
            <w:r w:rsidRPr="008326A7">
              <w:rPr>
                <w:rFonts w:cstheme="minorHAnsi"/>
                <w:lang w:val="fr-FR"/>
              </w:rPr>
              <w:t xml:space="preserve">En 2010, le gouvernement a procédé à la révision </w:t>
            </w:r>
            <w:r w:rsidRPr="006934AD">
              <w:rPr>
                <w:rFonts w:cstheme="minorHAnsi"/>
                <w:lang w:val="fr-FR"/>
              </w:rPr>
              <w:t>de la « Déclaration de Politique de Jeunesse, de Sport et de Culture » adoptée en 1993 pour dix ans. La nouvelle Lettre de Politique Nationale de Jeunesse et de Sport (la jeunesse et les sports étaient ensemble) mise en place en 2011 par les autorités de la troisième République traduit la volonté du gouvernement de créer un meilleur cadre de promotion et d’intégration des jeunes dans le tissu social et économique du pays. Sa vision à l’horizon 2020 est ainsi définie : « les jeunes, citoyens responsables, engagés et épanouis, participent au développement du pays, à l’intégration régionale et au rayonnement international de la Guinée… » </w:t>
            </w:r>
          </w:p>
          <w:p w14:paraId="78FFF48A" w14:textId="77777777" w:rsidR="008326A7" w:rsidRPr="008326A7" w:rsidRDefault="008326A7" w:rsidP="008326A7">
            <w:pPr>
              <w:rPr>
                <w:rFonts w:cstheme="minorHAnsi"/>
                <w:lang w:val="fr-FR"/>
              </w:rPr>
            </w:pPr>
            <w:r w:rsidRPr="006934AD">
              <w:rPr>
                <w:rFonts w:cstheme="minorHAnsi"/>
                <w:lang w:val="fr-FR"/>
              </w:rPr>
              <w:t>Le plan d’action décennal (2011-2020) issu de cette politique est mis en œuvre à travers plusieurs programmes et projets pour atteindre les objectifs visés et progresser</w:t>
            </w:r>
            <w:r w:rsidRPr="008326A7">
              <w:rPr>
                <w:rFonts w:cstheme="minorHAnsi"/>
                <w:lang w:val="fr-FR"/>
              </w:rPr>
              <w:t xml:space="preserve"> vers la vision.  </w:t>
            </w:r>
          </w:p>
          <w:p w14:paraId="0E554F0B" w14:textId="77777777" w:rsidR="008326A7" w:rsidRPr="008326A7" w:rsidRDefault="008326A7" w:rsidP="008326A7">
            <w:pPr>
              <w:rPr>
                <w:rFonts w:cstheme="minorHAnsi"/>
                <w:lang w:val="fr-FR"/>
              </w:rPr>
            </w:pPr>
            <w:r w:rsidRPr="008326A7">
              <w:rPr>
                <w:rFonts w:cstheme="minorHAnsi"/>
                <w:lang w:val="fr-FR"/>
              </w:rPr>
              <w:t xml:space="preserve">Dans la perspective du développement durable, le poids démographique prépondérant des jeunes au sein de la population (77,5% de ces jeunes ont moins de 35 ans et 32,2% ont entre 15 et 35 ans) et leur potentiel d’innovation et de créativité justifient l’urgence du soutien à leur mobilisation pour leur participation pleine et responsable à la vie socioéconomique, culturelle, sportive et artistique de la nation. </w:t>
            </w:r>
          </w:p>
          <w:p w14:paraId="79C604AD" w14:textId="4C6DEC72" w:rsidR="008326A7" w:rsidRPr="008326A7" w:rsidRDefault="008326A7" w:rsidP="008326A7">
            <w:pPr>
              <w:rPr>
                <w:rFonts w:cstheme="minorHAnsi"/>
                <w:lang w:val="fr-FR"/>
              </w:rPr>
            </w:pPr>
            <w:r w:rsidRPr="008326A7">
              <w:rPr>
                <w:rFonts w:cstheme="minorHAnsi"/>
                <w:lang w:val="fr-FR"/>
              </w:rPr>
              <w:t>C’est pourquoi, dix ans après, les acteurs intervenants dans ce secteur s’interrogent sur le niveau de mise en œuvre de cette politique arrivée à échéance en 2020 dans un contexte</w:t>
            </w:r>
            <w:r w:rsidRPr="008326A7">
              <w:rPr>
                <w:rFonts w:cstheme="minorHAnsi"/>
                <w:spacing w:val="-4"/>
                <w:lang w:val="fr-FR"/>
              </w:rPr>
              <w:t xml:space="preserve"> de fragilité de l’Etat, </w:t>
            </w:r>
            <w:r w:rsidRPr="008326A7">
              <w:rPr>
                <w:rFonts w:cstheme="minorHAnsi"/>
                <w:lang w:val="fr-FR"/>
              </w:rPr>
              <w:t>marqué par de multiples crises sociopolitiques et sanitaires (Ebola et COVID-19) entre 2013 et 2020) dont les conséquences économiques et socio- sanitaires n’ont épargné personne.</w:t>
            </w:r>
          </w:p>
          <w:p w14:paraId="3CAE5D14" w14:textId="77777777" w:rsidR="008326A7" w:rsidRPr="008326A7" w:rsidRDefault="008326A7" w:rsidP="008326A7">
            <w:pPr>
              <w:rPr>
                <w:rFonts w:cstheme="minorHAnsi"/>
                <w:lang w:val="fr-FR"/>
              </w:rPr>
            </w:pPr>
            <w:r w:rsidRPr="008326A7">
              <w:rPr>
                <w:rFonts w:cstheme="minorHAnsi"/>
                <w:lang w:val="fr-FR"/>
              </w:rPr>
              <w:t>Bien que la situation économique de la Guinée sur la période 2016-2020 soit améliorée, avec un taux de croissance économique annuel moyen de 5%, avec des avancées majeures en matière de stabilisation du cadre macroéconomique et de l’exploitation de ses richesses naturelles et minérales, la Guinée à l’instar de nombreux autres pays de la sous-région, fait face à des défis majeurs pour assurer un avenir socio-économique prometteur pour la jeunesse.</w:t>
            </w:r>
          </w:p>
          <w:p w14:paraId="0835A867" w14:textId="77777777" w:rsidR="008326A7" w:rsidRPr="008326A7" w:rsidRDefault="008326A7" w:rsidP="008326A7">
            <w:pPr>
              <w:rPr>
                <w:rFonts w:cstheme="minorHAnsi"/>
                <w:lang w:val="fr-FR"/>
              </w:rPr>
            </w:pPr>
            <w:r w:rsidRPr="008326A7">
              <w:rPr>
                <w:rFonts w:cstheme="minorHAnsi"/>
                <w:lang w:val="fr-FR"/>
              </w:rPr>
              <w:t>Au regard de la forte demande sociale, notamment de la part de cette population très jeune, en croissance rapide et majoritairement confrontée au chômage et au sous- emploi, au problème d’éducation, de formation et de participation, la situation est encore préoccupante et appelle des actions urgentes et d’envergure pour créer un maximum d’emplois et tirer un grand profit du dividende démographique.</w:t>
            </w:r>
          </w:p>
          <w:p w14:paraId="0D8A2C9F" w14:textId="31FFBF07" w:rsidR="008326A7" w:rsidRDefault="008326A7" w:rsidP="008326A7">
            <w:pPr>
              <w:rPr>
                <w:rFonts w:cstheme="minorHAnsi"/>
                <w:lang w:val="fr-FR"/>
              </w:rPr>
            </w:pPr>
          </w:p>
          <w:p w14:paraId="0E1F9430" w14:textId="77777777" w:rsidR="008326A7" w:rsidRPr="008326A7" w:rsidRDefault="008326A7" w:rsidP="008326A7">
            <w:pPr>
              <w:rPr>
                <w:rFonts w:cstheme="minorHAnsi"/>
                <w:lang w:val="fr-FR"/>
              </w:rPr>
            </w:pPr>
            <w:r w:rsidRPr="008326A7">
              <w:rPr>
                <w:rFonts w:cstheme="minorHAnsi"/>
                <w:lang w:val="fr-FR"/>
              </w:rPr>
              <w:t xml:space="preserve">Après plus de seize ans d’existence, la politique nationale de la jeunesse a besoin d’être adaptée aux nouvelles réalités socioéconomiques, culturelles et politiques du pays. Il est indispensable de resituer la place de la jeunesse dans le contexte global du développement socio politique et économique du pays. Le constat d’une perte de repère progressif et d’un sentiment d’abandon pour la jeunesse doit céder le pas à une perception plus évoluée, qui doit considérer la jeunesse comme enjeu majeur du développement global.  </w:t>
            </w:r>
          </w:p>
          <w:p w14:paraId="6C84ADA2" w14:textId="77777777" w:rsidR="008326A7" w:rsidRPr="008326A7" w:rsidRDefault="008326A7" w:rsidP="008326A7">
            <w:pPr>
              <w:rPr>
                <w:rFonts w:cstheme="minorHAnsi"/>
                <w:lang w:val="fr-FR"/>
              </w:rPr>
            </w:pPr>
            <w:r w:rsidRPr="008326A7">
              <w:rPr>
                <w:rFonts w:cstheme="minorHAnsi"/>
                <w:lang w:val="fr-FR"/>
              </w:rPr>
              <w:t xml:space="preserve"> </w:t>
            </w:r>
          </w:p>
          <w:p w14:paraId="39060288" w14:textId="77777777" w:rsidR="008326A7" w:rsidRPr="008326A7" w:rsidRDefault="008326A7" w:rsidP="008326A7">
            <w:pPr>
              <w:rPr>
                <w:rFonts w:cstheme="minorHAnsi"/>
                <w:lang w:val="fr-FR"/>
              </w:rPr>
            </w:pPr>
            <w:r w:rsidRPr="008326A7">
              <w:rPr>
                <w:rFonts w:cstheme="minorHAnsi"/>
                <w:lang w:val="fr-FR"/>
              </w:rPr>
              <w:t xml:space="preserve">La nouvelle Politique nationale de la jeunesse doit être un document qui servira de cadre unique de référence pour permettre au Gouvernement et aux partenaires d’agir en faveur de la Jeunesse de façon à garantir des actions coordonnées entre les politiques publiques sur tout ce qui est mené en faveur de la jeunesse, avec pour objectif que les jeunes puissent apporter leur contribution au développement du pays. </w:t>
            </w:r>
          </w:p>
          <w:p w14:paraId="3B502EC8" w14:textId="77777777" w:rsidR="008326A7" w:rsidRPr="008326A7" w:rsidRDefault="008326A7" w:rsidP="008326A7">
            <w:pPr>
              <w:rPr>
                <w:rFonts w:cstheme="minorHAnsi"/>
                <w:lang w:val="fr-FR"/>
              </w:rPr>
            </w:pPr>
          </w:p>
          <w:p w14:paraId="08DE81E4" w14:textId="2549BD02" w:rsidR="008326A7" w:rsidRDefault="008326A7" w:rsidP="008326A7">
            <w:pPr>
              <w:rPr>
                <w:rFonts w:cstheme="minorHAnsi"/>
                <w:lang w:val="fr-FR"/>
              </w:rPr>
            </w:pPr>
            <w:r w:rsidRPr="008326A7">
              <w:rPr>
                <w:rFonts w:cstheme="minorHAnsi"/>
                <w:lang w:val="fr-FR"/>
              </w:rPr>
              <w:t xml:space="preserve">Conscient de cette réalité et des responsabilités qui sont les siennes, le gouvernement à travers le Ministère de la Jeunesse et de l’Emploi des Jeunes s’est engagé avec l’appui des partenaires au développement, notamment l’UNFPA, la BAD et le PNUD à reformuler la Politique Nationale de la Jeunesse élaborée et mise en œuvre depuis 2011 </w:t>
            </w:r>
            <w:r w:rsidRPr="008326A7">
              <w:rPr>
                <w:rFonts w:cstheme="minorHAnsi"/>
                <w:lang w:val="fr-FR"/>
              </w:rPr>
              <w:lastRenderedPageBreak/>
              <w:t>en vue de l’adapter aux nouveaux contextes national, africain et international, conformément aux recommandations du Programme d’Action Mondial pour la Jeunesse (PAMJ) des Nations Unies, à la Charte Africaine de la Jeunesse, au Plan National de Développement Economique et Social (PNDES 2) 2021-2025, ainsi qu’aux cadres d’orientation des programmes de développement dont la vision 2063 de l’Union Africaine.</w:t>
            </w:r>
          </w:p>
          <w:p w14:paraId="18E4BDCF" w14:textId="77777777" w:rsidR="008326A7" w:rsidRPr="008326A7" w:rsidRDefault="008326A7" w:rsidP="008326A7">
            <w:pPr>
              <w:rPr>
                <w:rFonts w:cstheme="minorHAnsi"/>
                <w:lang w:val="fr-FR"/>
              </w:rPr>
            </w:pPr>
          </w:p>
          <w:p w14:paraId="5B29CF29" w14:textId="5080A96A" w:rsidR="008326A7" w:rsidRPr="008326A7" w:rsidRDefault="008326A7" w:rsidP="008326A7">
            <w:pPr>
              <w:rPr>
                <w:rFonts w:cstheme="minorHAnsi"/>
                <w:lang w:val="fr-FR"/>
              </w:rPr>
            </w:pPr>
            <w:r w:rsidRPr="008326A7">
              <w:rPr>
                <w:rFonts w:cstheme="minorHAnsi"/>
                <w:lang w:val="fr-FR"/>
              </w:rPr>
              <w:t xml:space="preserve">La première étape de ce processus de révision de la PNJ (2011-2020) consiste à dresser l’état des lieux, en procédant à un diagnostic interne et externe du dispositif de mise en œuvre de la </w:t>
            </w:r>
            <w:r>
              <w:rPr>
                <w:rFonts w:cstheme="minorHAnsi"/>
                <w:lang w:val="fr-FR"/>
              </w:rPr>
              <w:t>P</w:t>
            </w:r>
            <w:r w:rsidRPr="008326A7">
              <w:rPr>
                <w:rFonts w:cstheme="minorHAnsi"/>
                <w:lang w:val="fr-FR"/>
              </w:rPr>
              <w:t>olitique qui permettra d’analyser d’une part</w:t>
            </w:r>
            <w:r>
              <w:rPr>
                <w:rFonts w:cstheme="minorHAnsi"/>
                <w:lang w:val="fr-FR"/>
              </w:rPr>
              <w:t>,</w:t>
            </w:r>
            <w:r w:rsidRPr="008326A7">
              <w:rPr>
                <w:rFonts w:cstheme="minorHAnsi"/>
                <w:lang w:val="fr-FR"/>
              </w:rPr>
              <w:t xml:space="preserve"> les forces et les faiblesses de ce dispositif et</w:t>
            </w:r>
            <w:r>
              <w:rPr>
                <w:rFonts w:cstheme="minorHAnsi"/>
                <w:lang w:val="fr-FR"/>
              </w:rPr>
              <w:t>,</w:t>
            </w:r>
            <w:r w:rsidRPr="008326A7">
              <w:rPr>
                <w:rFonts w:cstheme="minorHAnsi"/>
                <w:lang w:val="fr-FR"/>
              </w:rPr>
              <w:t xml:space="preserve"> d’autre part</w:t>
            </w:r>
            <w:r>
              <w:rPr>
                <w:rFonts w:cstheme="minorHAnsi"/>
                <w:lang w:val="fr-FR"/>
              </w:rPr>
              <w:t>,</w:t>
            </w:r>
            <w:r w:rsidRPr="008326A7">
              <w:rPr>
                <w:rFonts w:cstheme="minorHAnsi"/>
                <w:lang w:val="fr-FR"/>
              </w:rPr>
              <w:t xml:space="preserve"> les opportunités et les contraintes de l’environnement. </w:t>
            </w:r>
          </w:p>
          <w:p w14:paraId="6DFD2EBC" w14:textId="77777777" w:rsidR="008326A7" w:rsidRPr="008326A7" w:rsidRDefault="008326A7" w:rsidP="008326A7">
            <w:pPr>
              <w:rPr>
                <w:rFonts w:cstheme="minorHAnsi"/>
                <w:lang w:val="fr-FR"/>
              </w:rPr>
            </w:pPr>
            <w:r w:rsidRPr="008326A7">
              <w:rPr>
                <w:rFonts w:cstheme="minorHAnsi"/>
                <w:lang w:val="fr-FR"/>
              </w:rPr>
              <w:t>Ce diagnostic permettra également de mettre en évidence une situation de référence et des tendances qui vont guider la formulation d’un nouveau cadre stratégique et des programmes à mettre en œuvre pour atteindre les objectifs de la nouvelle Politique Nationale de Jeunesse (2021-2030).</w:t>
            </w:r>
          </w:p>
          <w:p w14:paraId="30241952" w14:textId="2A9DFA17" w:rsidR="008737CE" w:rsidRPr="00B53CA5" w:rsidRDefault="008737CE">
            <w:pPr>
              <w:spacing w:after="0"/>
              <w:ind w:left="0" w:right="0" w:firstLine="0"/>
              <w:rPr>
                <w:lang w:val="fr-FR"/>
              </w:rPr>
            </w:pPr>
          </w:p>
        </w:tc>
      </w:tr>
      <w:tr w:rsidR="008737CE" w:rsidRPr="00A17850" w14:paraId="13ADC2E7" w14:textId="77777777" w:rsidTr="00E84F75">
        <w:trPr>
          <w:trHeight w:val="13442"/>
        </w:trPr>
        <w:tc>
          <w:tcPr>
            <w:tcW w:w="9344" w:type="dxa"/>
            <w:tcBorders>
              <w:top w:val="single" w:sz="4" w:space="0" w:color="000080"/>
              <w:left w:val="single" w:sz="4" w:space="0" w:color="000080"/>
              <w:bottom w:val="single" w:sz="4" w:space="0" w:color="000080"/>
              <w:right w:val="single" w:sz="4" w:space="0" w:color="000080"/>
            </w:tcBorders>
          </w:tcPr>
          <w:p w14:paraId="2EAAD88E" w14:textId="5B32414B" w:rsidR="008737CE" w:rsidRPr="00B53CA5" w:rsidRDefault="008737CE">
            <w:pPr>
              <w:spacing w:after="13"/>
              <w:ind w:left="0" w:right="0" w:firstLine="0"/>
              <w:jc w:val="left"/>
              <w:rPr>
                <w:lang w:val="fr-FR"/>
              </w:rPr>
            </w:pPr>
          </w:p>
          <w:p w14:paraId="6B428E55" w14:textId="56D7304A" w:rsidR="008737CE" w:rsidRPr="008326A7" w:rsidRDefault="004769BF" w:rsidP="006934AD">
            <w:pPr>
              <w:spacing w:after="0"/>
              <w:ind w:right="0"/>
              <w:jc w:val="left"/>
              <w:rPr>
                <w:lang w:val="fr-FR"/>
              </w:rPr>
            </w:pPr>
            <w:r w:rsidRPr="008326A7">
              <w:rPr>
                <w:lang w:val="fr-FR"/>
              </w:rPr>
              <w:t xml:space="preserve">OBJECTIFS DE LA MISSION </w:t>
            </w:r>
          </w:p>
          <w:p w14:paraId="735B4F68" w14:textId="77777777" w:rsidR="008737CE" w:rsidRPr="008326A7" w:rsidRDefault="004769BF">
            <w:pPr>
              <w:spacing w:after="8"/>
              <w:ind w:left="1440" w:right="0" w:firstLine="0"/>
              <w:jc w:val="left"/>
              <w:rPr>
                <w:lang w:val="fr-FR"/>
              </w:rPr>
            </w:pPr>
            <w:r w:rsidRPr="008326A7">
              <w:rPr>
                <w:lang w:val="fr-FR"/>
              </w:rPr>
              <w:t xml:space="preserve"> </w:t>
            </w:r>
          </w:p>
          <w:p w14:paraId="051CF7EE" w14:textId="77777777" w:rsidR="008326A7" w:rsidRDefault="004769BF" w:rsidP="008326A7">
            <w:pPr>
              <w:rPr>
                <w:rFonts w:cstheme="minorHAnsi"/>
                <w:sz w:val="24"/>
                <w:szCs w:val="24"/>
                <w:lang w:val="fr-FR"/>
              </w:rPr>
            </w:pPr>
            <w:r w:rsidRPr="008326A7">
              <w:rPr>
                <w:lang w:val="fr-FR"/>
              </w:rPr>
              <w:t>OBJECTIF GENERAL :</w:t>
            </w:r>
            <w:r w:rsidR="008326A7" w:rsidRPr="00B27460">
              <w:rPr>
                <w:rFonts w:cstheme="minorHAnsi"/>
                <w:sz w:val="24"/>
                <w:szCs w:val="24"/>
                <w:lang w:val="fr-FR"/>
              </w:rPr>
              <w:t xml:space="preserve"> </w:t>
            </w:r>
          </w:p>
          <w:p w14:paraId="110244CA" w14:textId="02A51041" w:rsidR="008737CE" w:rsidRPr="008326A7" w:rsidRDefault="008737CE" w:rsidP="006934AD">
            <w:pPr>
              <w:spacing w:after="0"/>
              <w:ind w:left="540" w:right="0" w:firstLine="0"/>
              <w:jc w:val="left"/>
              <w:rPr>
                <w:lang w:val="fr-FR"/>
              </w:rPr>
            </w:pPr>
          </w:p>
          <w:p w14:paraId="1F15C48A" w14:textId="291489D4" w:rsidR="008737CE" w:rsidRPr="00B53CA5" w:rsidRDefault="004769BF">
            <w:pPr>
              <w:spacing w:after="0" w:line="239" w:lineRule="auto"/>
              <w:ind w:left="22" w:right="94" w:hanging="22"/>
              <w:rPr>
                <w:lang w:val="fr-FR"/>
              </w:rPr>
            </w:pPr>
            <w:r w:rsidRPr="00B53CA5">
              <w:rPr>
                <w:lang w:val="fr-FR"/>
              </w:rPr>
              <w:t>L’objectif général est</w:t>
            </w:r>
            <w:r w:rsidR="008326A7">
              <w:rPr>
                <w:lang w:val="fr-FR"/>
              </w:rPr>
              <w:t xml:space="preserve"> de mener une évaluation de la politique nationale </w:t>
            </w:r>
            <w:r w:rsidRPr="00B53CA5">
              <w:rPr>
                <w:lang w:val="fr-FR"/>
              </w:rPr>
              <w:t xml:space="preserve">de la jeunesse </w:t>
            </w:r>
            <w:r w:rsidR="008326A7">
              <w:rPr>
                <w:lang w:val="fr-FR"/>
              </w:rPr>
              <w:t>existante et de réviser le document de politique, de façon à prendre</w:t>
            </w:r>
            <w:r w:rsidRPr="00B53CA5">
              <w:rPr>
                <w:lang w:val="fr-FR"/>
              </w:rPr>
              <w:t xml:space="preserve"> </w:t>
            </w:r>
            <w:r w:rsidR="008326A7">
              <w:rPr>
                <w:lang w:val="fr-FR"/>
              </w:rPr>
              <w:t xml:space="preserve">en </w:t>
            </w:r>
            <w:r w:rsidRPr="00B53CA5">
              <w:rPr>
                <w:lang w:val="fr-FR"/>
              </w:rPr>
              <w:t xml:space="preserve">compte </w:t>
            </w:r>
            <w:r w:rsidR="003C0955">
              <w:rPr>
                <w:lang w:val="fr-FR"/>
              </w:rPr>
              <w:t xml:space="preserve">le nouveau contexte national, régional et international, et bien intégrer </w:t>
            </w:r>
            <w:r w:rsidRPr="00B53CA5">
              <w:rPr>
                <w:lang w:val="fr-FR"/>
              </w:rPr>
              <w:t>le caractère transversal des</w:t>
            </w:r>
            <w:r w:rsidR="00D71812">
              <w:rPr>
                <w:lang w:val="fr-FR"/>
              </w:rPr>
              <w:t xml:space="preserve"> </w:t>
            </w:r>
            <w:r w:rsidRPr="00B53CA5">
              <w:rPr>
                <w:lang w:val="fr-FR"/>
              </w:rPr>
              <w:t>questions relatives au développement des jeunes</w:t>
            </w:r>
            <w:r w:rsidR="008326A7">
              <w:rPr>
                <w:lang w:val="fr-FR"/>
              </w:rPr>
              <w:t>,</w:t>
            </w:r>
            <w:r w:rsidRPr="00B53CA5">
              <w:rPr>
                <w:lang w:val="fr-FR"/>
              </w:rPr>
              <w:t xml:space="preserve"> après une analyse de l’ensemble des politiques et stratégies sectorielles qui impliquent les jeunes</w:t>
            </w:r>
            <w:r w:rsidR="003C0955">
              <w:rPr>
                <w:lang w:val="fr-FR"/>
              </w:rPr>
              <w:t xml:space="preserve">, de façon alignée aux nouvelles priorités du PNDES 2. </w:t>
            </w:r>
          </w:p>
          <w:p w14:paraId="21219CBB" w14:textId="77777777" w:rsidR="008737CE" w:rsidRPr="00B53CA5" w:rsidRDefault="004769BF">
            <w:pPr>
              <w:spacing w:after="11"/>
              <w:ind w:left="0" w:right="0" w:firstLine="0"/>
              <w:jc w:val="left"/>
              <w:rPr>
                <w:lang w:val="fr-FR"/>
              </w:rPr>
            </w:pPr>
            <w:r w:rsidRPr="00B53CA5">
              <w:rPr>
                <w:lang w:val="fr-FR"/>
              </w:rPr>
              <w:t xml:space="preserve"> </w:t>
            </w:r>
          </w:p>
          <w:p w14:paraId="2186670F" w14:textId="7AD321CB" w:rsidR="008737CE" w:rsidRDefault="004769BF" w:rsidP="008326A7">
            <w:pPr>
              <w:spacing w:after="13"/>
              <w:ind w:right="0"/>
              <w:jc w:val="left"/>
            </w:pPr>
            <w:r>
              <w:t xml:space="preserve">OBJECTIFS SPECIFIQUES :  </w:t>
            </w:r>
          </w:p>
          <w:p w14:paraId="19BC075A" w14:textId="77777777" w:rsidR="008326A7" w:rsidRPr="008326A7" w:rsidRDefault="008326A7" w:rsidP="008326A7">
            <w:pPr>
              <w:spacing w:after="13"/>
              <w:ind w:right="0"/>
              <w:jc w:val="left"/>
              <w:rPr>
                <w:lang w:val="fr-FR"/>
              </w:rPr>
            </w:pPr>
          </w:p>
          <w:p w14:paraId="3C2C7BF9" w14:textId="77777777" w:rsidR="008737CE" w:rsidRPr="00B53CA5" w:rsidRDefault="004769BF" w:rsidP="003C0955">
            <w:pPr>
              <w:numPr>
                <w:ilvl w:val="0"/>
                <w:numId w:val="2"/>
              </w:numPr>
              <w:spacing w:after="35" w:line="238" w:lineRule="auto"/>
              <w:ind w:right="0" w:hanging="360"/>
              <w:jc w:val="left"/>
              <w:rPr>
                <w:lang w:val="fr-FR"/>
              </w:rPr>
            </w:pPr>
            <w:r w:rsidRPr="00B53CA5">
              <w:rPr>
                <w:lang w:val="fr-FR"/>
              </w:rPr>
              <w:t xml:space="preserve">Faire un état des lieux de la situation des jeunes en Guinée selon les zones, le niveau d’éducation, la situation dans l’emploi, le statut social, etc., à partir d’une revue de littérature, documents et rapports récents ; </w:t>
            </w:r>
          </w:p>
          <w:p w14:paraId="63082E73" w14:textId="66C4F0E8" w:rsidR="003C0955" w:rsidRDefault="003C0955" w:rsidP="003C0955">
            <w:pPr>
              <w:numPr>
                <w:ilvl w:val="0"/>
                <w:numId w:val="2"/>
              </w:numPr>
              <w:spacing w:after="35" w:line="238" w:lineRule="auto"/>
              <w:ind w:right="0" w:hanging="360"/>
              <w:jc w:val="left"/>
              <w:rPr>
                <w:lang w:val="fr-FR"/>
              </w:rPr>
            </w:pPr>
            <w:r w:rsidRPr="003C0955">
              <w:rPr>
                <w:lang w:val="fr-FR"/>
              </w:rPr>
              <w:t>Evaluer la mise en œuvre de la Politique Nationale de la Jeunesse (2011-2020) en vue de déterminer la situation de référence</w:t>
            </w:r>
            <w:r>
              <w:rPr>
                <w:lang w:val="fr-FR"/>
              </w:rPr>
              <w:t> ;</w:t>
            </w:r>
          </w:p>
          <w:p w14:paraId="119CCAEA" w14:textId="2C5AE0B4" w:rsidR="008737CE" w:rsidRPr="00B53CA5" w:rsidRDefault="004769BF" w:rsidP="003C0955">
            <w:pPr>
              <w:numPr>
                <w:ilvl w:val="0"/>
                <w:numId w:val="2"/>
              </w:numPr>
              <w:spacing w:after="33"/>
              <w:ind w:right="0" w:hanging="360"/>
              <w:jc w:val="left"/>
              <w:rPr>
                <w:lang w:val="fr-FR"/>
              </w:rPr>
            </w:pPr>
            <w:r w:rsidRPr="00B53CA5">
              <w:rPr>
                <w:lang w:val="fr-FR"/>
              </w:rPr>
              <w:t>Analyser les documents de stratégies et politiques sectorielles des Ministères et secteurs qui ciblent les jeunes ou qui sont caractérisés par une</w:t>
            </w:r>
            <w:r w:rsidR="003C0955">
              <w:rPr>
                <w:lang w:val="fr-FR"/>
              </w:rPr>
              <w:t xml:space="preserve"> </w:t>
            </w:r>
            <w:r w:rsidRPr="00B53CA5">
              <w:rPr>
                <w:lang w:val="fr-FR"/>
              </w:rPr>
              <w:t xml:space="preserve">forte implication des jeunes ; </w:t>
            </w:r>
          </w:p>
          <w:p w14:paraId="4428378C" w14:textId="313CB01C" w:rsidR="003C0955" w:rsidRDefault="004769BF" w:rsidP="003C0955">
            <w:pPr>
              <w:numPr>
                <w:ilvl w:val="0"/>
                <w:numId w:val="2"/>
              </w:numPr>
              <w:spacing w:after="33"/>
              <w:ind w:right="0" w:hanging="360"/>
              <w:jc w:val="left"/>
              <w:rPr>
                <w:lang w:val="fr-FR"/>
              </w:rPr>
            </w:pPr>
            <w:r w:rsidRPr="00B53CA5">
              <w:rPr>
                <w:lang w:val="fr-FR"/>
              </w:rPr>
              <w:t xml:space="preserve">Organiser des échanges en focus groupes avec les principaux partenaires nationaux qui interviennent sur les questions relatives à la jeunesse, les groupements de jeunes et </w:t>
            </w:r>
            <w:r w:rsidR="003C0955">
              <w:rPr>
                <w:lang w:val="fr-FR"/>
              </w:rPr>
              <w:t xml:space="preserve">en impliquant </w:t>
            </w:r>
            <w:r w:rsidRPr="00B53CA5">
              <w:rPr>
                <w:lang w:val="fr-FR"/>
              </w:rPr>
              <w:t xml:space="preserve">les PTFs ; </w:t>
            </w:r>
          </w:p>
          <w:p w14:paraId="5D4CDA89" w14:textId="1D0378C1" w:rsidR="008737CE" w:rsidRPr="003C0955" w:rsidRDefault="003C0955" w:rsidP="003C0955">
            <w:pPr>
              <w:numPr>
                <w:ilvl w:val="0"/>
                <w:numId w:val="2"/>
              </w:numPr>
              <w:spacing w:after="33"/>
              <w:ind w:right="0" w:hanging="360"/>
              <w:jc w:val="left"/>
              <w:rPr>
                <w:lang w:val="fr-FR"/>
              </w:rPr>
            </w:pPr>
            <w:r>
              <w:rPr>
                <w:lang w:val="fr-FR"/>
              </w:rPr>
              <w:t xml:space="preserve">A </w:t>
            </w:r>
            <w:r w:rsidRPr="003C0955">
              <w:rPr>
                <w:lang w:val="fr-FR"/>
              </w:rPr>
              <w:t>partir d</w:t>
            </w:r>
            <w:r>
              <w:rPr>
                <w:lang w:val="fr-FR"/>
              </w:rPr>
              <w:t>u</w:t>
            </w:r>
            <w:r w:rsidRPr="003C0955">
              <w:rPr>
                <w:lang w:val="fr-FR"/>
              </w:rPr>
              <w:t xml:space="preserve"> diagnostic</w:t>
            </w:r>
            <w:r>
              <w:rPr>
                <w:lang w:val="fr-FR"/>
              </w:rPr>
              <w:t xml:space="preserve"> établi</w:t>
            </w:r>
            <w:r w:rsidRPr="003C0955">
              <w:rPr>
                <w:lang w:val="fr-FR"/>
              </w:rPr>
              <w:t>, définir le cadre d’orientation stratégique de la Politique Nationale de Jeunesse (2021-2030) </w:t>
            </w:r>
            <w:r>
              <w:rPr>
                <w:lang w:val="fr-FR"/>
              </w:rPr>
              <w:t>et é</w:t>
            </w:r>
            <w:r w:rsidR="004769BF" w:rsidRPr="003C0955">
              <w:rPr>
                <w:lang w:val="fr-FR"/>
              </w:rPr>
              <w:t xml:space="preserve">laborer </w:t>
            </w:r>
            <w:r w:rsidRPr="003C0955">
              <w:rPr>
                <w:lang w:val="fr-FR"/>
              </w:rPr>
              <w:t>le document de la</w:t>
            </w:r>
            <w:r w:rsidR="004769BF" w:rsidRPr="003C0955">
              <w:rPr>
                <w:lang w:val="fr-FR"/>
              </w:rPr>
              <w:t xml:space="preserve"> </w:t>
            </w:r>
            <w:r w:rsidRPr="003C0955">
              <w:rPr>
                <w:lang w:val="fr-FR"/>
              </w:rPr>
              <w:t>P</w:t>
            </w:r>
            <w:r w:rsidR="004769BF" w:rsidRPr="003C0955">
              <w:rPr>
                <w:lang w:val="fr-FR"/>
              </w:rPr>
              <w:t xml:space="preserve">olitique nationale de la jeunesse et les documents de stratégie qui la composent sur la base des résultats d’analyse, de revue de documents et de consultation élargie avec les partenaires nationaux, les PTFs et les groupements de jeunes ; </w:t>
            </w:r>
          </w:p>
          <w:p w14:paraId="719BB719" w14:textId="12613B30" w:rsidR="003C0955" w:rsidRDefault="003C0955" w:rsidP="003C0955">
            <w:pPr>
              <w:numPr>
                <w:ilvl w:val="0"/>
                <w:numId w:val="2"/>
              </w:numPr>
              <w:spacing w:after="33"/>
              <w:ind w:right="0" w:hanging="360"/>
              <w:jc w:val="left"/>
              <w:rPr>
                <w:lang w:val="fr-FR"/>
              </w:rPr>
            </w:pPr>
            <w:r w:rsidRPr="003C0955">
              <w:rPr>
                <w:lang w:val="fr-FR"/>
              </w:rPr>
              <w:t xml:space="preserve">Elaborer un plan stratégique et identifier des actions prioritaires à synthétiser dans une matrice opérationnelle pour la mise en œuvre de la </w:t>
            </w:r>
            <w:r>
              <w:rPr>
                <w:lang w:val="fr-FR"/>
              </w:rPr>
              <w:t>PNJ ;</w:t>
            </w:r>
          </w:p>
          <w:p w14:paraId="6868B327" w14:textId="4316EE13" w:rsidR="008737CE" w:rsidRPr="00B53CA5" w:rsidRDefault="004769BF" w:rsidP="003C0955">
            <w:pPr>
              <w:numPr>
                <w:ilvl w:val="0"/>
                <w:numId w:val="2"/>
              </w:numPr>
              <w:spacing w:after="0"/>
              <w:ind w:right="0" w:hanging="360"/>
              <w:jc w:val="left"/>
              <w:rPr>
                <w:lang w:val="fr-FR"/>
              </w:rPr>
            </w:pPr>
            <w:r w:rsidRPr="00B53CA5">
              <w:rPr>
                <w:lang w:val="fr-FR"/>
              </w:rPr>
              <w:t xml:space="preserve">Faire valider le document de la </w:t>
            </w:r>
            <w:r w:rsidR="003C0955">
              <w:rPr>
                <w:lang w:val="fr-FR"/>
              </w:rPr>
              <w:t>P</w:t>
            </w:r>
            <w:r w:rsidRPr="00B53CA5">
              <w:rPr>
                <w:lang w:val="fr-FR"/>
              </w:rPr>
              <w:t>olitique nationale de la jeunes et les documents de stratégie, en atelier de validation national, conduit sous l’égide du</w:t>
            </w:r>
            <w:r w:rsidR="003C0955">
              <w:rPr>
                <w:lang w:val="fr-FR"/>
              </w:rPr>
              <w:t xml:space="preserve"> </w:t>
            </w:r>
            <w:r w:rsidRPr="00B53CA5">
              <w:rPr>
                <w:lang w:val="fr-FR"/>
              </w:rPr>
              <w:t xml:space="preserve">Ministère de la Jeunesse et impliquant l’ensemble des partenaires engagés dans des projets en faveur des jeunes en Guinée. </w:t>
            </w:r>
          </w:p>
        </w:tc>
      </w:tr>
    </w:tbl>
    <w:p w14:paraId="0C1AC255" w14:textId="77777777" w:rsidR="008737CE" w:rsidRDefault="004769BF">
      <w:pPr>
        <w:spacing w:after="0"/>
        <w:ind w:left="0" w:right="0" w:firstLine="0"/>
        <w:jc w:val="left"/>
      </w:pPr>
      <w:r>
        <w:rPr>
          <w:noProof/>
        </w:rPr>
        <mc:AlternateContent>
          <mc:Choice Requires="wpg">
            <w:drawing>
              <wp:inline distT="0" distB="0" distL="0" distR="0" wp14:anchorId="54FC2328" wp14:editId="67DD9D4E">
                <wp:extent cx="1829054" cy="9145"/>
                <wp:effectExtent l="0" t="0" r="0" b="0"/>
                <wp:docPr id="14847" name="Group 14847"/>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17542" name="Shape 17542"/>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06A22F" id="Group 14847"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">
                <v:shape id="Shape 17542" o:spid="_x0000_s1027" style="position:absolute;width:18290;height:91;visibility:visible;mso-wrap-style:square;v-text-anchor:top" coordsize="182905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" path="m,l1829054,r,9145l,9145,,e" fillcolor="black" stroked="f" strokeweight="0">
                  <v:stroke miterlimit="83231f" joinstyle="miter"/>
                  <v:path arrowok="t" textboxrect="0,0,1829054,9145"/>
                </v:shape>
                <w10:anchorlock/>
              </v:group>
            </w:pict>
          </mc:Fallback>
        </mc:AlternateContent>
      </w:r>
      <w:r>
        <w:t xml:space="preserve"> </w:t>
      </w:r>
    </w:p>
    <w:p w14:paraId="799DE302" w14:textId="77777777" w:rsidR="008737CE" w:rsidRDefault="008737CE">
      <w:pPr>
        <w:spacing w:after="0"/>
        <w:ind w:left="-1416" w:right="988" w:firstLine="0"/>
        <w:jc w:val="left"/>
      </w:pPr>
    </w:p>
    <w:tbl>
      <w:tblPr>
        <w:tblStyle w:val="TableGrid"/>
        <w:tblW w:w="9495" w:type="dxa"/>
        <w:tblInd w:w="7" w:type="dxa"/>
        <w:tblCellMar>
          <w:top w:w="48" w:type="dxa"/>
          <w:left w:w="108" w:type="dxa"/>
          <w:right w:w="59" w:type="dxa"/>
        </w:tblCellMar>
        <w:tblLook w:val="04A0" w:firstRow="1" w:lastRow="0" w:firstColumn="1" w:lastColumn="0" w:noHBand="0" w:noVBand="1"/>
      </w:tblPr>
      <w:tblGrid>
        <w:gridCol w:w="9495"/>
      </w:tblGrid>
      <w:tr w:rsidR="008737CE" w:rsidRPr="00A17850" w14:paraId="4CFB036D" w14:textId="77777777" w:rsidTr="003B4177">
        <w:trPr>
          <w:trHeight w:val="2069"/>
        </w:trPr>
        <w:tc>
          <w:tcPr>
            <w:tcW w:w="9495" w:type="dxa"/>
            <w:tcBorders>
              <w:top w:val="single" w:sz="4" w:space="0" w:color="000080"/>
              <w:left w:val="single" w:sz="4" w:space="0" w:color="000080"/>
              <w:bottom w:val="single" w:sz="4" w:space="0" w:color="000080"/>
              <w:right w:val="single" w:sz="4" w:space="0" w:color="000080"/>
            </w:tcBorders>
          </w:tcPr>
          <w:p w14:paraId="391AC368" w14:textId="77777777" w:rsidR="008737CE" w:rsidRPr="008326A7" w:rsidRDefault="004769BF" w:rsidP="003B4177">
            <w:pPr>
              <w:spacing w:after="0" w:line="238" w:lineRule="auto"/>
              <w:ind w:left="0" w:right="47" w:firstLine="0"/>
              <w:rPr>
                <w:lang w:val="fr-FR"/>
              </w:rPr>
            </w:pPr>
            <w:r w:rsidRPr="008326A7">
              <w:rPr>
                <w:lang w:val="fr-FR"/>
              </w:rPr>
              <w:lastRenderedPageBreak/>
              <w:t xml:space="preserve"> </w:t>
            </w:r>
          </w:p>
          <w:p w14:paraId="52C7340A" w14:textId="1B18AC88" w:rsidR="008737CE" w:rsidRPr="00B53CA5" w:rsidRDefault="004769BF" w:rsidP="003B4177">
            <w:pPr>
              <w:spacing w:after="0" w:line="238" w:lineRule="auto"/>
              <w:ind w:left="0" w:right="47" w:firstLine="0"/>
              <w:rPr>
                <w:lang w:val="fr-FR"/>
              </w:rPr>
            </w:pPr>
            <w:r w:rsidRPr="00B53CA5">
              <w:rPr>
                <w:lang w:val="fr-FR"/>
              </w:rPr>
              <w:t xml:space="preserve">DESCRIPTIF DE LA MISSION </w:t>
            </w:r>
            <w:r w:rsidR="008326A7">
              <w:rPr>
                <w:lang w:val="fr-FR"/>
              </w:rPr>
              <w:t>(activités et méthodologie)</w:t>
            </w:r>
          </w:p>
          <w:p w14:paraId="3F243382" w14:textId="77777777" w:rsidR="008737CE" w:rsidRPr="00B53CA5" w:rsidRDefault="004769BF" w:rsidP="003B4177">
            <w:pPr>
              <w:spacing w:after="0" w:line="238" w:lineRule="auto"/>
              <w:ind w:left="0" w:right="47" w:firstLine="0"/>
              <w:rPr>
                <w:lang w:val="fr-FR"/>
              </w:rPr>
            </w:pPr>
            <w:r w:rsidRPr="00B53CA5">
              <w:rPr>
                <w:lang w:val="fr-FR"/>
              </w:rPr>
              <w:t xml:space="preserve"> </w:t>
            </w:r>
          </w:p>
          <w:p w14:paraId="6AD8CDD4" w14:textId="5349C484" w:rsidR="008737CE" w:rsidRPr="00B53CA5" w:rsidRDefault="004769BF" w:rsidP="003B4177">
            <w:pPr>
              <w:spacing w:after="0" w:line="238" w:lineRule="auto"/>
              <w:ind w:left="0" w:right="47" w:firstLine="0"/>
              <w:rPr>
                <w:lang w:val="fr-FR"/>
              </w:rPr>
            </w:pPr>
            <w:r w:rsidRPr="00B53CA5">
              <w:rPr>
                <w:lang w:val="fr-FR"/>
              </w:rPr>
              <w:t>Aujourd’hui, la Guinée dispose d’un Ministère de la jeunesse et de l’emploi des jeunes. Le sport et le patrimoine historique sont deux domaines qui relèvent d autres Ministères. Une politique nationale de l’emploi et une stratégie nationale de l’emploi des jeunes sont</w:t>
            </w:r>
            <w:r w:rsidR="00C6259E">
              <w:rPr>
                <w:lang w:val="fr-FR"/>
              </w:rPr>
              <w:t xml:space="preserve"> </w:t>
            </w:r>
            <w:r w:rsidRPr="00B53CA5">
              <w:rPr>
                <w:lang w:val="fr-FR"/>
              </w:rPr>
              <w:t>en cour</w:t>
            </w:r>
            <w:r w:rsidR="00C6259E">
              <w:rPr>
                <w:lang w:val="fr-FR"/>
              </w:rPr>
              <w:t>s</w:t>
            </w:r>
            <w:r w:rsidRPr="00B53CA5">
              <w:rPr>
                <w:lang w:val="fr-FR"/>
              </w:rPr>
              <w:t xml:space="preserve"> d’élaboration, aussi des politiques et programmes sectoriels visant de façon directe ou indirecte le développement des jeunes et l’autonomisation des jeunes et des femmes sont menés dans les autres Ministères. </w:t>
            </w:r>
            <w:r w:rsidR="003C0955">
              <w:rPr>
                <w:lang w:val="fr-FR"/>
              </w:rPr>
              <w:t xml:space="preserve">Enfin, le PNDES 2 est en cours de formulation et prend en compte l’ensemble des politiques et stratégies sectorielles. </w:t>
            </w:r>
          </w:p>
          <w:p w14:paraId="1A5D226C" w14:textId="77777777" w:rsidR="008737CE" w:rsidRPr="00B53CA5" w:rsidRDefault="004769BF" w:rsidP="003B4177">
            <w:pPr>
              <w:spacing w:after="0" w:line="238" w:lineRule="auto"/>
              <w:ind w:left="0" w:right="47" w:firstLine="0"/>
              <w:rPr>
                <w:lang w:val="fr-FR"/>
              </w:rPr>
            </w:pPr>
            <w:r w:rsidRPr="00B53CA5">
              <w:rPr>
                <w:lang w:val="fr-FR"/>
              </w:rPr>
              <w:t xml:space="preserve"> </w:t>
            </w:r>
          </w:p>
          <w:p w14:paraId="01FE4C00" w14:textId="77777777" w:rsidR="008737CE" w:rsidRPr="00B53CA5" w:rsidRDefault="004769BF" w:rsidP="003B4177">
            <w:pPr>
              <w:spacing w:after="0" w:line="238" w:lineRule="auto"/>
              <w:ind w:left="0" w:right="47" w:firstLine="0"/>
              <w:rPr>
                <w:lang w:val="fr-FR"/>
              </w:rPr>
            </w:pPr>
            <w:r w:rsidRPr="00B53CA5">
              <w:rPr>
                <w:lang w:val="fr-FR"/>
              </w:rPr>
              <w:t>L’actualisation de la Politique Nationale de la Jeunesse s’appuiera sur ces grandes orientations et devra prendre largement en compte le caractère transversal de la question de jeunesse; il doit dresser l’état des lieux de la situation des jeunes et faire l’inventaire des dispositifs (stratégies) qui concernent des secteurs ne relevant parfois pas directement du Département de la jeunesse dont notamment les services civiques et les compétences de la vie (civisme et citoyenneté, développement personnel et leadership), l’éducation et la santé, la formation professionnelle, l’emploi et l’insertion socioéconomique, la protection sociale, la culture, l’art et le sport, etc.</w:t>
            </w:r>
            <w:r w:rsidRPr="003B4177">
              <w:rPr>
                <w:lang w:val="fr-FR"/>
              </w:rPr>
              <w:t xml:space="preserve"> </w:t>
            </w:r>
            <w:r w:rsidRPr="00B53CA5">
              <w:rPr>
                <w:lang w:val="fr-FR"/>
              </w:rPr>
              <w:t xml:space="preserve"> </w:t>
            </w:r>
          </w:p>
          <w:p w14:paraId="13B64969" w14:textId="77777777" w:rsidR="008737CE" w:rsidRPr="00B53CA5" w:rsidRDefault="004769BF" w:rsidP="003B4177">
            <w:pPr>
              <w:spacing w:after="0" w:line="238" w:lineRule="auto"/>
              <w:ind w:left="0" w:right="47" w:firstLine="0"/>
              <w:rPr>
                <w:lang w:val="fr-FR"/>
              </w:rPr>
            </w:pPr>
            <w:r w:rsidRPr="00B53CA5">
              <w:rPr>
                <w:lang w:val="fr-FR"/>
              </w:rPr>
              <w:t xml:space="preserve"> </w:t>
            </w:r>
          </w:p>
          <w:p w14:paraId="532AF778" w14:textId="1895FEFA" w:rsidR="008737CE" w:rsidRPr="00B53CA5" w:rsidRDefault="004769BF" w:rsidP="003B4177">
            <w:pPr>
              <w:spacing w:after="0" w:line="238" w:lineRule="auto"/>
              <w:ind w:left="0" w:right="47" w:firstLine="0"/>
              <w:rPr>
                <w:lang w:val="fr-FR"/>
              </w:rPr>
            </w:pPr>
            <w:r w:rsidRPr="00B53CA5">
              <w:rPr>
                <w:lang w:val="fr-FR"/>
              </w:rPr>
              <w:t>L’adoption et la ratification de la Charte Africaine de la Jeunesse</w:t>
            </w:r>
            <w:r w:rsidR="003C0955">
              <w:rPr>
                <w:lang w:val="fr-FR"/>
              </w:rPr>
              <w:t xml:space="preserve"> et </w:t>
            </w:r>
            <w:r w:rsidRPr="00B53CA5">
              <w:rPr>
                <w:lang w:val="fr-FR"/>
              </w:rPr>
              <w:t xml:space="preserve">la mise en place d’une politique de la CEDEAO en matière de jeunesse motivent davantage la révision de la politique guinéenne en la matière. </w:t>
            </w:r>
          </w:p>
          <w:p w14:paraId="32649B86" w14:textId="77777777" w:rsidR="008737CE" w:rsidRPr="00B53CA5" w:rsidRDefault="004769BF" w:rsidP="003B4177">
            <w:pPr>
              <w:spacing w:after="0" w:line="238" w:lineRule="auto"/>
              <w:ind w:left="0" w:right="47" w:firstLine="0"/>
              <w:rPr>
                <w:lang w:val="fr-FR"/>
              </w:rPr>
            </w:pPr>
            <w:r w:rsidRPr="00B53CA5">
              <w:rPr>
                <w:lang w:val="fr-FR"/>
              </w:rPr>
              <w:t xml:space="preserve"> </w:t>
            </w:r>
          </w:p>
          <w:p w14:paraId="58AF30DB" w14:textId="797E2BA2" w:rsidR="008737CE" w:rsidRPr="003B4177" w:rsidRDefault="003C0955" w:rsidP="003B4177">
            <w:pPr>
              <w:spacing w:after="11" w:line="238" w:lineRule="auto"/>
              <w:ind w:left="0" w:right="47" w:firstLine="0"/>
              <w:rPr>
                <w:lang w:val="fr-FR"/>
              </w:rPr>
            </w:pPr>
            <w:r w:rsidRPr="003B4177">
              <w:rPr>
                <w:lang w:val="fr-FR"/>
              </w:rPr>
              <w:t xml:space="preserve">Activités et méthodologie: </w:t>
            </w:r>
          </w:p>
          <w:p w14:paraId="53F21ED8" w14:textId="3704E098" w:rsidR="008737CE" w:rsidRPr="00B53CA5" w:rsidRDefault="004769BF" w:rsidP="003B4177">
            <w:pPr>
              <w:numPr>
                <w:ilvl w:val="0"/>
                <w:numId w:val="3"/>
              </w:numPr>
              <w:spacing w:after="33" w:line="238" w:lineRule="auto"/>
              <w:ind w:right="47" w:hanging="360"/>
              <w:rPr>
                <w:lang w:val="fr-FR"/>
              </w:rPr>
            </w:pPr>
            <w:r w:rsidRPr="00B53CA5">
              <w:rPr>
                <w:lang w:val="fr-FR"/>
              </w:rPr>
              <w:t xml:space="preserve">Des séances de présentation et de validation du plan </w:t>
            </w:r>
            <w:r w:rsidR="001E44F4">
              <w:rPr>
                <w:lang w:val="fr-FR"/>
              </w:rPr>
              <w:t>d’action</w:t>
            </w:r>
            <w:r w:rsidRPr="00B53CA5">
              <w:rPr>
                <w:lang w:val="fr-FR"/>
              </w:rPr>
              <w:t xml:space="preserve"> de la mission ser</w:t>
            </w:r>
            <w:r w:rsidR="001E44F4">
              <w:rPr>
                <w:lang w:val="fr-FR"/>
              </w:rPr>
              <w:t>ont</w:t>
            </w:r>
            <w:r w:rsidRPr="00B53CA5">
              <w:rPr>
                <w:lang w:val="fr-FR"/>
              </w:rPr>
              <w:t xml:space="preserve"> organisée</w:t>
            </w:r>
            <w:r w:rsidR="001E44F4">
              <w:rPr>
                <w:lang w:val="fr-FR"/>
              </w:rPr>
              <w:t>s</w:t>
            </w:r>
            <w:r w:rsidRPr="00B53CA5">
              <w:rPr>
                <w:lang w:val="fr-FR"/>
              </w:rPr>
              <w:t xml:space="preserve"> avec le Consultant au Ministère de la jeunesse et de l’emploi des jeunes avant le démarrage effectif des travaux</w:t>
            </w:r>
            <w:r w:rsidR="001E44F4">
              <w:rPr>
                <w:lang w:val="fr-FR"/>
              </w:rPr>
              <w:t> ;</w:t>
            </w:r>
          </w:p>
          <w:p w14:paraId="0A9623C8" w14:textId="4AD4744E" w:rsidR="008737CE" w:rsidRDefault="004769BF" w:rsidP="003B4177">
            <w:pPr>
              <w:numPr>
                <w:ilvl w:val="0"/>
                <w:numId w:val="3"/>
              </w:numPr>
              <w:spacing w:after="31" w:line="238" w:lineRule="auto"/>
              <w:ind w:right="47" w:hanging="360"/>
              <w:rPr>
                <w:lang w:val="fr-FR"/>
              </w:rPr>
            </w:pPr>
            <w:r w:rsidRPr="00B53CA5">
              <w:rPr>
                <w:lang w:val="fr-FR"/>
              </w:rPr>
              <w:t xml:space="preserve">La recherche documentaire sur les politiques et les stratégies sectorielle et les programmes en cours qui ciblent les jeunes et visent une forte implication des jeunes (par exemple sur la promotion et de coordination des initiatives en faveur des jeunes, la protection et </w:t>
            </w:r>
            <w:r w:rsidR="001E44F4">
              <w:rPr>
                <w:lang w:val="fr-FR"/>
              </w:rPr>
              <w:t>l</w:t>
            </w:r>
            <w:r w:rsidRPr="00B53CA5">
              <w:rPr>
                <w:lang w:val="fr-FR"/>
              </w:rPr>
              <w:t xml:space="preserve">’autonomisation des jeunes, la promotion de l’emploi des jeunes, le service civique, la gestion des maisons des jeunes et autres structures de mobilisation des jeunes…) ; </w:t>
            </w:r>
          </w:p>
          <w:p w14:paraId="5E08411A" w14:textId="08E51418" w:rsidR="00ED72EC" w:rsidRPr="00ED72EC" w:rsidRDefault="00ED72EC" w:rsidP="00ED72EC">
            <w:pPr>
              <w:numPr>
                <w:ilvl w:val="0"/>
                <w:numId w:val="3"/>
              </w:numPr>
              <w:spacing w:after="31" w:line="238" w:lineRule="auto"/>
              <w:ind w:right="47" w:hanging="360"/>
              <w:rPr>
                <w:lang w:val="fr-FR"/>
              </w:rPr>
            </w:pPr>
            <w:r>
              <w:rPr>
                <w:lang w:val="fr-FR"/>
              </w:rPr>
              <w:t>Les synergies avec les autres politiques et stratégies sont identifiées (en particulier la Politique Nationale de l’Emploi et la version révisée de la SNAPEJ et du Programme d’insertion socioéconomique des jeunes) ;</w:t>
            </w:r>
          </w:p>
          <w:p w14:paraId="3CE764EE" w14:textId="2B73E235" w:rsidR="008737CE" w:rsidRPr="00C27397" w:rsidRDefault="004769BF" w:rsidP="003B4177">
            <w:pPr>
              <w:numPr>
                <w:ilvl w:val="0"/>
                <w:numId w:val="3"/>
              </w:numPr>
              <w:spacing w:after="31" w:line="238" w:lineRule="auto"/>
              <w:ind w:right="47" w:hanging="360"/>
              <w:rPr>
                <w:lang w:val="fr-FR"/>
              </w:rPr>
            </w:pPr>
            <w:r w:rsidRPr="00B53CA5">
              <w:rPr>
                <w:lang w:val="fr-FR"/>
              </w:rPr>
              <w:t xml:space="preserve">Des réunions internes avec des différentes directions du MJEJ et autres départements œuvrant en faveur des jeunes </w:t>
            </w:r>
            <w:r w:rsidR="00C27397" w:rsidRPr="003B4177">
              <w:rPr>
                <w:lang w:val="fr-FR"/>
              </w:rPr>
              <w:t>;</w:t>
            </w:r>
            <w:r w:rsidR="00ED72EC">
              <w:rPr>
                <w:lang w:val="fr-FR"/>
              </w:rPr>
              <w:t xml:space="preserve"> </w:t>
            </w:r>
          </w:p>
          <w:p w14:paraId="7F9C6810" w14:textId="1C923470" w:rsidR="003B4177" w:rsidRPr="003B4177" w:rsidRDefault="004769BF" w:rsidP="003B4177">
            <w:pPr>
              <w:numPr>
                <w:ilvl w:val="0"/>
                <w:numId w:val="3"/>
              </w:numPr>
              <w:spacing w:after="33" w:line="238" w:lineRule="auto"/>
              <w:ind w:right="47" w:hanging="360"/>
              <w:rPr>
                <w:lang w:val="fr-FR"/>
              </w:rPr>
            </w:pPr>
            <w:r w:rsidRPr="00B53CA5">
              <w:rPr>
                <w:lang w:val="fr-FR"/>
              </w:rPr>
              <w:t xml:space="preserve">Des échanges avec les principaux partenaires nationaux, acteurs œuvrant en faveur de la jeunesse, groupements de jeunesse, et PTFS, y compris des groupes focus et ateliers de réflexion, sur la base d’une démarche participative et d’intelligence collective ;   </w:t>
            </w:r>
          </w:p>
          <w:p w14:paraId="72A969F1" w14:textId="07A344E6" w:rsidR="008737CE" w:rsidRPr="00B53CA5" w:rsidRDefault="003B4177" w:rsidP="003B4177">
            <w:pPr>
              <w:numPr>
                <w:ilvl w:val="0"/>
                <w:numId w:val="3"/>
              </w:numPr>
              <w:spacing w:after="12" w:line="238" w:lineRule="auto"/>
              <w:ind w:right="47" w:hanging="360"/>
              <w:rPr>
                <w:lang w:val="fr-FR"/>
              </w:rPr>
            </w:pPr>
            <w:r w:rsidRPr="00B53CA5">
              <w:rPr>
                <w:lang w:val="fr-FR"/>
              </w:rPr>
              <w:t xml:space="preserve"> </w:t>
            </w:r>
            <w:r w:rsidR="004769BF" w:rsidRPr="00B53CA5">
              <w:rPr>
                <w:lang w:val="fr-FR"/>
              </w:rPr>
              <w:t xml:space="preserve">L’élaboration du document de </w:t>
            </w:r>
            <w:r>
              <w:rPr>
                <w:lang w:val="fr-FR"/>
              </w:rPr>
              <w:t>P</w:t>
            </w:r>
            <w:r w:rsidR="004769BF" w:rsidRPr="00B53CA5">
              <w:rPr>
                <w:lang w:val="fr-FR"/>
              </w:rPr>
              <w:t xml:space="preserve">olitique nationale de la jeunesse </w:t>
            </w:r>
            <w:r>
              <w:rPr>
                <w:lang w:val="fr-FR"/>
              </w:rPr>
              <w:t>(2021-2030) et des stratégies qui la composent avec des actions prioritaires</w:t>
            </w:r>
            <w:r w:rsidR="00ED72EC">
              <w:rPr>
                <w:lang w:val="fr-FR"/>
              </w:rPr>
              <w:t>, et en en alignement avec les priorités du nouveau PNDES ;</w:t>
            </w:r>
          </w:p>
          <w:p w14:paraId="68524021" w14:textId="1D4AC365" w:rsidR="008737CE" w:rsidRPr="00B53CA5" w:rsidRDefault="004769BF" w:rsidP="003B4177">
            <w:pPr>
              <w:numPr>
                <w:ilvl w:val="0"/>
                <w:numId w:val="3"/>
              </w:numPr>
              <w:spacing w:after="8" w:line="238" w:lineRule="auto"/>
              <w:ind w:right="47" w:hanging="360"/>
              <w:rPr>
                <w:lang w:val="fr-FR"/>
              </w:rPr>
            </w:pPr>
            <w:r w:rsidRPr="00B53CA5">
              <w:rPr>
                <w:lang w:val="fr-FR"/>
              </w:rPr>
              <w:t>La validation du document d</w:t>
            </w:r>
            <w:r w:rsidR="003B4177">
              <w:rPr>
                <w:lang w:val="fr-FR"/>
              </w:rPr>
              <w:t>e P</w:t>
            </w:r>
            <w:r w:rsidRPr="00B53CA5">
              <w:rPr>
                <w:lang w:val="fr-FR"/>
              </w:rPr>
              <w:t xml:space="preserve">olitique nationale de la jeunesse et des documents de stratégies y afférant, en atelier de validation national, conduit sous l’égide duMinistère de la Jeunesse et impliquant l’ensemble des partenaires engagés dans des projets en faveur des jeunes en Guinée. </w:t>
            </w:r>
          </w:p>
          <w:p w14:paraId="36731C50" w14:textId="66EE5B64" w:rsidR="008737CE" w:rsidRPr="00B53CA5" w:rsidRDefault="008737CE" w:rsidP="003B4177">
            <w:pPr>
              <w:tabs>
                <w:tab w:val="center" w:pos="397"/>
                <w:tab w:val="center" w:pos="720"/>
              </w:tabs>
              <w:spacing w:after="0" w:line="238" w:lineRule="auto"/>
              <w:ind w:left="0" w:right="47" w:firstLine="0"/>
              <w:rPr>
                <w:lang w:val="fr-FR"/>
              </w:rPr>
            </w:pPr>
          </w:p>
          <w:p w14:paraId="5087B325" w14:textId="5152F0C4" w:rsidR="008737CE" w:rsidRDefault="004769BF" w:rsidP="003B4177">
            <w:pPr>
              <w:spacing w:after="0" w:line="238" w:lineRule="auto"/>
              <w:ind w:left="0" w:right="47" w:firstLine="0"/>
              <w:rPr>
                <w:lang w:val="fr-FR"/>
              </w:rPr>
            </w:pPr>
            <w:r w:rsidRPr="00B53CA5">
              <w:rPr>
                <w:lang w:val="fr-FR"/>
              </w:rPr>
              <w:t>Compte tenu de la diversité de la prestation, le</w:t>
            </w:r>
            <w:r w:rsidR="003B4177">
              <w:rPr>
                <w:lang w:val="fr-FR"/>
              </w:rPr>
              <w:t>-la</w:t>
            </w:r>
            <w:r w:rsidRPr="00B53CA5">
              <w:rPr>
                <w:lang w:val="fr-FR"/>
              </w:rPr>
              <w:t xml:space="preserve"> consultant</w:t>
            </w:r>
            <w:r w:rsidR="003B4177">
              <w:rPr>
                <w:lang w:val="fr-FR"/>
              </w:rPr>
              <w:t>-e</w:t>
            </w:r>
            <w:r w:rsidRPr="00B53CA5">
              <w:rPr>
                <w:lang w:val="fr-FR"/>
              </w:rPr>
              <w:t xml:space="preserve"> pourra s’appuyer sur le</w:t>
            </w:r>
            <w:r w:rsidR="003B4177">
              <w:rPr>
                <w:lang w:val="fr-FR"/>
              </w:rPr>
              <w:t xml:space="preserve">s unités techniques du MJEJ et d’autres départements ministériels et </w:t>
            </w:r>
            <w:r w:rsidRPr="00B53CA5">
              <w:rPr>
                <w:lang w:val="fr-FR"/>
              </w:rPr>
              <w:t>organisations consultés</w:t>
            </w:r>
            <w:r w:rsidR="003B4177">
              <w:rPr>
                <w:lang w:val="fr-FR"/>
              </w:rPr>
              <w:t xml:space="preserve">. Il-Elle devra rendre compte au Comité d’appui à la révision de la PNJ qui sera mis en place. </w:t>
            </w:r>
          </w:p>
          <w:p w14:paraId="217FA2F4" w14:textId="77777777" w:rsidR="00CF5C32" w:rsidRDefault="00CF5C32" w:rsidP="003B4177">
            <w:pPr>
              <w:spacing w:after="0" w:line="238" w:lineRule="auto"/>
              <w:ind w:left="0" w:right="47" w:firstLine="0"/>
              <w:rPr>
                <w:lang w:val="fr-FR"/>
              </w:rPr>
            </w:pPr>
          </w:p>
          <w:p w14:paraId="389B26CF" w14:textId="3A526F77" w:rsidR="00CF5C32" w:rsidRPr="003B4177" w:rsidRDefault="003B4177" w:rsidP="003B4177">
            <w:pPr>
              <w:spacing w:line="238" w:lineRule="auto"/>
              <w:ind w:right="47"/>
              <w:rPr>
                <w:lang w:val="fr-FR"/>
              </w:rPr>
            </w:pPr>
            <w:r w:rsidRPr="003B4177">
              <w:rPr>
                <w:lang w:val="fr-FR"/>
              </w:rPr>
              <w:t>La méthodologie</w:t>
            </w:r>
            <w:r w:rsidR="00CF5C32" w:rsidRPr="003B4177">
              <w:rPr>
                <w:lang w:val="fr-FR"/>
              </w:rPr>
              <w:t xml:space="preserve"> devra être basée sur deux approches complémentaires :</w:t>
            </w:r>
          </w:p>
          <w:p w14:paraId="332CB312" w14:textId="486F97FD" w:rsidR="00CF5C32" w:rsidRPr="003B4177" w:rsidRDefault="00CF5C32" w:rsidP="003B4177">
            <w:pPr>
              <w:spacing w:line="238" w:lineRule="auto"/>
              <w:ind w:right="47"/>
              <w:rPr>
                <w:lang w:val="fr-FR"/>
              </w:rPr>
            </w:pPr>
            <w:r w:rsidRPr="003B4177">
              <w:rPr>
                <w:lang w:val="fr-FR"/>
              </w:rPr>
              <w:t>(i) L’évaluation appréciera la pertinence et les difficultés de mise en œuvre de la politique à travers une analyse qualitative (revue documentaire pertinente, entretiens individuels</w:t>
            </w:r>
            <w:r w:rsidR="003B4177" w:rsidRPr="003B4177">
              <w:rPr>
                <w:lang w:val="fr-FR"/>
              </w:rPr>
              <w:t xml:space="preserve"> et en focus groupes</w:t>
            </w:r>
            <w:r w:rsidRPr="003B4177">
              <w:rPr>
                <w:lang w:val="fr-FR"/>
              </w:rPr>
              <w:t xml:space="preserve">) ; elle </w:t>
            </w:r>
            <w:r w:rsidRPr="003B4177">
              <w:rPr>
                <w:lang w:val="fr-FR"/>
              </w:rPr>
              <w:lastRenderedPageBreak/>
              <w:t>devra également permettre d’apprécier le degré d'appropriation de la politique au niveau</w:t>
            </w:r>
            <w:r w:rsidR="003B4177" w:rsidRPr="003B4177">
              <w:rPr>
                <w:lang w:val="fr-FR"/>
              </w:rPr>
              <w:t xml:space="preserve"> du MJEJ et au niveau interministériel à l’échelle</w:t>
            </w:r>
            <w:r w:rsidRPr="003B4177">
              <w:rPr>
                <w:lang w:val="fr-FR"/>
              </w:rPr>
              <w:t xml:space="preserve"> national</w:t>
            </w:r>
            <w:r w:rsidR="003B4177" w:rsidRPr="003B4177">
              <w:rPr>
                <w:lang w:val="fr-FR"/>
              </w:rPr>
              <w:t>e</w:t>
            </w:r>
            <w:r w:rsidRPr="003B4177">
              <w:rPr>
                <w:lang w:val="fr-FR"/>
              </w:rPr>
              <w:t>, sa prise en compte dans l'élaboration des politiques et programmes de développement ainsi que les effets et impacts. Cette investigation devra se faire auprès des différentes parties prenantes, notamment les populations cibles (les jeunes), les différents services du Ministère de la Jeunesse et de l’Emploi des Jeunes,</w:t>
            </w:r>
            <w:r w:rsidR="003B4177" w:rsidRPr="003B4177">
              <w:rPr>
                <w:lang w:val="fr-FR"/>
              </w:rPr>
              <w:t xml:space="preserve"> et autres départements sectoriels, les organisations du</w:t>
            </w:r>
            <w:r w:rsidRPr="003B4177">
              <w:rPr>
                <w:lang w:val="fr-FR"/>
              </w:rPr>
              <w:t xml:space="preserve"> secteur privé, les collectivités locales, la société civile</w:t>
            </w:r>
            <w:r w:rsidR="003B4177" w:rsidRPr="003B4177">
              <w:rPr>
                <w:lang w:val="fr-FR"/>
              </w:rPr>
              <w:t xml:space="preserve"> et</w:t>
            </w:r>
            <w:r w:rsidRPr="003B4177">
              <w:rPr>
                <w:lang w:val="fr-FR"/>
              </w:rPr>
              <w:t xml:space="preserve"> les </w:t>
            </w:r>
            <w:r w:rsidR="003B4177" w:rsidRPr="003B4177">
              <w:rPr>
                <w:lang w:val="fr-FR"/>
              </w:rPr>
              <w:t>p</w:t>
            </w:r>
            <w:r w:rsidRPr="003B4177">
              <w:rPr>
                <w:lang w:val="fr-FR"/>
              </w:rPr>
              <w:t xml:space="preserve">artenaires au développement </w:t>
            </w:r>
          </w:p>
          <w:p w14:paraId="54DE8FDB" w14:textId="0E2F11BE" w:rsidR="00CF5C32" w:rsidRPr="003B4177" w:rsidRDefault="00CF5C32" w:rsidP="003B4177">
            <w:pPr>
              <w:spacing w:line="238" w:lineRule="auto"/>
              <w:ind w:right="47"/>
              <w:rPr>
                <w:lang w:val="fr-FR"/>
              </w:rPr>
            </w:pPr>
            <w:r w:rsidRPr="003B4177">
              <w:rPr>
                <w:lang w:val="fr-FR"/>
              </w:rPr>
              <w:t xml:space="preserve">(ii) Le processus d’évaluation devra permettre d’identifier de nouveaux enjeux et défis liés à la problématique </w:t>
            </w:r>
            <w:r w:rsidR="003B4177" w:rsidRPr="003B4177">
              <w:rPr>
                <w:lang w:val="fr-FR"/>
              </w:rPr>
              <w:t>du développement des jeunes et</w:t>
            </w:r>
            <w:r w:rsidRPr="003B4177">
              <w:rPr>
                <w:lang w:val="fr-FR"/>
              </w:rPr>
              <w:t xml:space="preserve"> conduira à l’établissement d’une situation de référence sur la base de laquelle seront bâtis le cadre stratégique et le plan d’action opérationnel de la politique Nationale de la Jeunesse </w:t>
            </w:r>
            <w:r w:rsidR="003B4177" w:rsidRPr="003B4177">
              <w:rPr>
                <w:lang w:val="fr-FR"/>
              </w:rPr>
              <w:t>(</w:t>
            </w:r>
            <w:r w:rsidRPr="003B4177">
              <w:rPr>
                <w:lang w:val="fr-FR"/>
              </w:rPr>
              <w:t>2021-2030</w:t>
            </w:r>
            <w:r w:rsidR="003B4177" w:rsidRPr="003B4177">
              <w:rPr>
                <w:lang w:val="fr-FR"/>
              </w:rPr>
              <w:t>)</w:t>
            </w:r>
            <w:r w:rsidRPr="003B4177">
              <w:rPr>
                <w:lang w:val="fr-FR"/>
              </w:rPr>
              <w:t>.</w:t>
            </w:r>
          </w:p>
          <w:p w14:paraId="41935A46" w14:textId="00F065D7" w:rsidR="00CF5C32" w:rsidRPr="00B53CA5" w:rsidRDefault="00CF5C32" w:rsidP="003B4177">
            <w:pPr>
              <w:spacing w:after="0" w:line="238" w:lineRule="auto"/>
              <w:ind w:left="0" w:right="47" w:firstLine="0"/>
              <w:rPr>
                <w:lang w:val="fr-FR"/>
              </w:rPr>
            </w:pPr>
          </w:p>
        </w:tc>
      </w:tr>
      <w:tr w:rsidR="008737CE" w14:paraId="46CD8194" w14:textId="77777777">
        <w:trPr>
          <w:trHeight w:val="422"/>
        </w:trPr>
        <w:tc>
          <w:tcPr>
            <w:tcW w:w="9495" w:type="dxa"/>
            <w:tcBorders>
              <w:top w:val="single" w:sz="4" w:space="0" w:color="000080"/>
              <w:left w:val="single" w:sz="4" w:space="0" w:color="000080"/>
              <w:bottom w:val="single" w:sz="4" w:space="0" w:color="000080"/>
              <w:right w:val="nil"/>
            </w:tcBorders>
            <w:shd w:val="clear" w:color="auto" w:fill="000080"/>
          </w:tcPr>
          <w:p w14:paraId="54BF37D3" w14:textId="77777777" w:rsidR="008737CE" w:rsidRDefault="004769BF">
            <w:pPr>
              <w:spacing w:after="0"/>
              <w:ind w:left="290" w:right="0" w:firstLine="0"/>
              <w:jc w:val="left"/>
            </w:pPr>
            <w:r>
              <w:rPr>
                <w:color w:val="FFFFFF"/>
              </w:rPr>
              <w:lastRenderedPageBreak/>
              <w:t>III.</w:t>
            </w:r>
            <w:r>
              <w:rPr>
                <w:rFonts w:ascii="Arial" w:eastAsia="Arial" w:hAnsi="Arial" w:cs="Arial"/>
                <w:b/>
                <w:color w:val="FFFFFF"/>
              </w:rPr>
              <w:t xml:space="preserve"> </w:t>
            </w:r>
            <w:r>
              <w:rPr>
                <w:color w:val="FFFFFF"/>
              </w:rPr>
              <w:t xml:space="preserve">Résultats attendus </w:t>
            </w:r>
          </w:p>
        </w:tc>
      </w:tr>
      <w:tr w:rsidR="008737CE" w:rsidRPr="00A17850" w14:paraId="746573EF" w14:textId="77777777">
        <w:trPr>
          <w:trHeight w:val="1355"/>
        </w:trPr>
        <w:tc>
          <w:tcPr>
            <w:tcW w:w="9495" w:type="dxa"/>
            <w:tcBorders>
              <w:top w:val="single" w:sz="4" w:space="0" w:color="000080"/>
              <w:left w:val="single" w:sz="4" w:space="0" w:color="000080"/>
              <w:bottom w:val="single" w:sz="4" w:space="0" w:color="000080"/>
              <w:right w:val="single" w:sz="4" w:space="0" w:color="000080"/>
            </w:tcBorders>
          </w:tcPr>
          <w:p w14:paraId="54F0E222" w14:textId="77777777" w:rsidR="008737CE" w:rsidRPr="00B53CA5" w:rsidRDefault="004769BF">
            <w:pPr>
              <w:spacing w:after="0"/>
              <w:ind w:left="0" w:right="0" w:firstLine="0"/>
              <w:jc w:val="left"/>
              <w:rPr>
                <w:lang w:val="fr-FR"/>
              </w:rPr>
            </w:pPr>
            <w:r w:rsidRPr="00B53CA5">
              <w:rPr>
                <w:lang w:val="fr-FR"/>
              </w:rPr>
              <w:t xml:space="preserve">Les résultats attendus se déclinent comme suit : </w:t>
            </w:r>
          </w:p>
          <w:p w14:paraId="5D8E9CE7" w14:textId="0B0725DC" w:rsidR="008737CE" w:rsidRDefault="003B4177">
            <w:pPr>
              <w:spacing w:after="0"/>
              <w:ind w:left="447" w:right="47" w:hanging="425"/>
              <w:rPr>
                <w:lang w:val="fr-FR"/>
              </w:rPr>
            </w:pPr>
            <w:r>
              <w:rPr>
                <w:rFonts w:ascii="Times New Roman" w:eastAsia="Times New Roman" w:hAnsi="Times New Roman" w:cs="Times New Roman"/>
                <w:lang w:val="fr-FR"/>
              </w:rPr>
              <w:t>1</w:t>
            </w:r>
            <w:r w:rsidR="004769BF" w:rsidRPr="00B53CA5">
              <w:rPr>
                <w:rFonts w:ascii="Times New Roman" w:eastAsia="Times New Roman" w:hAnsi="Times New Roman" w:cs="Times New Roman"/>
                <w:lang w:val="fr-FR"/>
              </w:rPr>
              <w:t>-</w:t>
            </w:r>
            <w:r w:rsidR="004769BF" w:rsidRPr="00B53CA5">
              <w:rPr>
                <w:rFonts w:ascii="Arial" w:eastAsia="Arial" w:hAnsi="Arial" w:cs="Arial"/>
                <w:lang w:val="fr-FR"/>
              </w:rPr>
              <w:t xml:space="preserve"> </w:t>
            </w:r>
            <w:r w:rsidR="004769BF" w:rsidRPr="00B53CA5">
              <w:rPr>
                <w:lang w:val="fr-FR"/>
              </w:rPr>
              <w:t xml:space="preserve">L’ensemble des documents de politique et stratégie sectorielle et les programmes et projets en faveur de la jeunesse sont consultés et analysés sur tous les aspects liés au développement de la jeunesse </w:t>
            </w:r>
            <w:r>
              <w:rPr>
                <w:lang w:val="fr-FR"/>
              </w:rPr>
              <w:t>et l’évaluation de l’actuelle PNJ est menée à travers une revue complète de la situation de référence ;</w:t>
            </w:r>
            <w:r w:rsidR="004769BF" w:rsidRPr="00B53CA5">
              <w:rPr>
                <w:lang w:val="fr-FR"/>
              </w:rPr>
              <w:t xml:space="preserve"> </w:t>
            </w:r>
            <w:r w:rsidR="00ED72EC">
              <w:rPr>
                <w:lang w:val="fr-FR"/>
              </w:rPr>
              <w:t>les synergies avec les autres politiques et stratégies sont identifiées (en particulier la Politique Nationale de l’Emploi et la version révisée de la SNAPEJ et du Programme d’insertion socioéconomique des jeunes) ;</w:t>
            </w:r>
          </w:p>
          <w:p w14:paraId="6E0B2F92" w14:textId="043ADA99" w:rsidR="003B4177" w:rsidRDefault="003B4177">
            <w:pPr>
              <w:spacing w:after="0"/>
              <w:ind w:left="447" w:right="47" w:hanging="425"/>
              <w:rPr>
                <w:lang w:val="fr-FR"/>
              </w:rPr>
            </w:pPr>
            <w:r>
              <w:rPr>
                <w:lang w:val="fr-FR"/>
              </w:rPr>
              <w:t xml:space="preserve">2- </w:t>
            </w:r>
            <w:r w:rsidRPr="00B53CA5">
              <w:rPr>
                <w:lang w:val="fr-FR"/>
              </w:rPr>
              <w:t xml:space="preserve">Les échanges et </w:t>
            </w:r>
            <w:r>
              <w:rPr>
                <w:lang w:val="fr-FR"/>
              </w:rPr>
              <w:t xml:space="preserve">rencontres </w:t>
            </w:r>
            <w:r w:rsidRPr="00B53CA5">
              <w:rPr>
                <w:lang w:val="fr-FR"/>
              </w:rPr>
              <w:t xml:space="preserve">avec les principaux partenaires sont organisés et les résultats de ces échanges sont clairement précisés dans un rapport concis et complet ; </w:t>
            </w:r>
          </w:p>
          <w:p w14:paraId="37D003E0" w14:textId="6ADB8A1B" w:rsidR="003B4177" w:rsidRDefault="003B4177">
            <w:pPr>
              <w:spacing w:after="0"/>
              <w:ind w:left="447" w:right="47" w:hanging="425"/>
              <w:rPr>
                <w:lang w:val="fr-FR"/>
              </w:rPr>
            </w:pPr>
            <w:r>
              <w:rPr>
                <w:rFonts w:ascii="Times New Roman" w:eastAsia="Times New Roman" w:hAnsi="Times New Roman" w:cs="Times New Roman"/>
                <w:lang w:val="fr-FR"/>
              </w:rPr>
              <w:t>3</w:t>
            </w:r>
            <w:r w:rsidRPr="00B53CA5">
              <w:rPr>
                <w:rFonts w:ascii="Times New Roman" w:eastAsia="Times New Roman" w:hAnsi="Times New Roman" w:cs="Times New Roman"/>
                <w:lang w:val="fr-FR"/>
              </w:rPr>
              <w:t>-</w:t>
            </w:r>
            <w:r w:rsidRPr="00B53CA5">
              <w:rPr>
                <w:rFonts w:ascii="Arial" w:eastAsia="Arial" w:hAnsi="Arial" w:cs="Arial"/>
                <w:lang w:val="fr-FR"/>
              </w:rPr>
              <w:t xml:space="preserve"> </w:t>
            </w:r>
            <w:r w:rsidRPr="00B53CA5">
              <w:rPr>
                <w:lang w:val="fr-FR"/>
              </w:rPr>
              <w:t>La rédaction d’un</w:t>
            </w:r>
            <w:r>
              <w:rPr>
                <w:lang w:val="fr-FR"/>
              </w:rPr>
              <w:t>e</w:t>
            </w:r>
            <w:r w:rsidRPr="00B53CA5">
              <w:rPr>
                <w:lang w:val="fr-FR"/>
              </w:rPr>
              <w:t xml:space="preserve"> politique nationale de la jeunesse actualisée, est finalisée</w:t>
            </w:r>
            <w:r>
              <w:rPr>
                <w:lang w:val="fr-FR"/>
              </w:rPr>
              <w:t>, avec ses stratégies thématiques et des actions prioritaires</w:t>
            </w:r>
            <w:r w:rsidR="00ED72EC">
              <w:rPr>
                <w:lang w:val="fr-FR"/>
              </w:rPr>
              <w:t> ;</w:t>
            </w:r>
          </w:p>
          <w:p w14:paraId="3F4FD32E" w14:textId="2B0B03C3" w:rsidR="003B4177" w:rsidRPr="00B53CA5" w:rsidRDefault="003B4177">
            <w:pPr>
              <w:spacing w:after="0"/>
              <w:ind w:left="447" w:right="47" w:hanging="425"/>
              <w:rPr>
                <w:lang w:val="fr-FR"/>
              </w:rPr>
            </w:pPr>
            <w:r>
              <w:rPr>
                <w:rFonts w:ascii="Times New Roman" w:eastAsia="Times New Roman" w:hAnsi="Times New Roman" w:cs="Times New Roman"/>
                <w:lang w:val="fr-FR"/>
              </w:rPr>
              <w:t>4</w:t>
            </w:r>
            <w:r w:rsidRPr="00B53CA5">
              <w:rPr>
                <w:rFonts w:ascii="Times New Roman" w:eastAsia="Times New Roman" w:hAnsi="Times New Roman" w:cs="Times New Roman"/>
                <w:lang w:val="fr-FR"/>
              </w:rPr>
              <w:t>-</w:t>
            </w:r>
            <w:r w:rsidRPr="00B53CA5">
              <w:rPr>
                <w:rFonts w:ascii="Arial" w:eastAsia="Arial" w:hAnsi="Arial" w:cs="Arial"/>
                <w:lang w:val="fr-FR"/>
              </w:rPr>
              <w:t xml:space="preserve"> </w:t>
            </w:r>
            <w:r w:rsidRPr="00B53CA5">
              <w:rPr>
                <w:lang w:val="fr-FR"/>
              </w:rPr>
              <w:t xml:space="preserve">Le document de la PNJ est validé en atelier national de haut niveau.  </w:t>
            </w:r>
          </w:p>
        </w:tc>
      </w:tr>
    </w:tbl>
    <w:p w14:paraId="731D8B10" w14:textId="77777777" w:rsidR="008737CE" w:rsidRPr="00B53CA5" w:rsidRDefault="008737CE">
      <w:pPr>
        <w:spacing w:after="0"/>
        <w:ind w:left="-1416" w:right="989" w:firstLine="0"/>
        <w:jc w:val="left"/>
        <w:rPr>
          <w:lang w:val="fr-FR"/>
        </w:rPr>
      </w:pPr>
    </w:p>
    <w:tbl>
      <w:tblPr>
        <w:tblStyle w:val="TableGrid"/>
        <w:tblW w:w="9493" w:type="dxa"/>
        <w:tblInd w:w="7" w:type="dxa"/>
        <w:tblCellMar>
          <w:top w:w="45" w:type="dxa"/>
          <w:left w:w="108" w:type="dxa"/>
          <w:right w:w="58" w:type="dxa"/>
        </w:tblCellMar>
        <w:tblLook w:val="04A0" w:firstRow="1" w:lastRow="0" w:firstColumn="1" w:lastColumn="0" w:noHBand="0" w:noVBand="1"/>
      </w:tblPr>
      <w:tblGrid>
        <w:gridCol w:w="9493"/>
      </w:tblGrid>
      <w:tr w:rsidR="008737CE" w14:paraId="6A9B9FAF" w14:textId="77777777">
        <w:trPr>
          <w:trHeight w:val="425"/>
        </w:trPr>
        <w:tc>
          <w:tcPr>
            <w:tcW w:w="9493" w:type="dxa"/>
            <w:tcBorders>
              <w:top w:val="single" w:sz="4" w:space="0" w:color="000080"/>
              <w:left w:val="single" w:sz="4" w:space="0" w:color="000080"/>
              <w:bottom w:val="single" w:sz="4" w:space="0" w:color="000080"/>
              <w:right w:val="nil"/>
            </w:tcBorders>
            <w:shd w:val="clear" w:color="auto" w:fill="000080"/>
          </w:tcPr>
          <w:p w14:paraId="2A35BCE0" w14:textId="77777777" w:rsidR="008737CE" w:rsidRDefault="004769BF">
            <w:pPr>
              <w:spacing w:after="0"/>
              <w:ind w:left="276" w:right="0" w:firstLine="0"/>
              <w:jc w:val="left"/>
            </w:pPr>
            <w:r>
              <w:rPr>
                <w:color w:val="FFFFFF"/>
              </w:rPr>
              <w:t>IV.</w:t>
            </w:r>
            <w:r>
              <w:rPr>
                <w:rFonts w:ascii="Arial" w:eastAsia="Arial" w:hAnsi="Arial" w:cs="Arial"/>
                <w:b/>
                <w:color w:val="FFFFFF"/>
              </w:rPr>
              <w:t xml:space="preserve"> </w:t>
            </w:r>
            <w:r>
              <w:rPr>
                <w:color w:val="FFFFFF"/>
              </w:rPr>
              <w:t xml:space="preserve">Fonctions/responsabilités/Tâches </w:t>
            </w:r>
          </w:p>
        </w:tc>
      </w:tr>
      <w:tr w:rsidR="008737CE" w:rsidRPr="00A17850" w14:paraId="4497E7DE" w14:textId="77777777" w:rsidTr="00AF67F1">
        <w:trPr>
          <w:trHeight w:val="2642"/>
        </w:trPr>
        <w:tc>
          <w:tcPr>
            <w:tcW w:w="9493" w:type="dxa"/>
            <w:tcBorders>
              <w:top w:val="single" w:sz="4" w:space="0" w:color="000080"/>
              <w:left w:val="single" w:sz="4" w:space="0" w:color="000080"/>
              <w:bottom w:val="single" w:sz="4" w:space="0" w:color="000080"/>
              <w:right w:val="single" w:sz="4" w:space="0" w:color="000080"/>
            </w:tcBorders>
          </w:tcPr>
          <w:p w14:paraId="6F49F342" w14:textId="77777777" w:rsidR="008737CE" w:rsidRPr="00B53CA5" w:rsidRDefault="004769BF">
            <w:pPr>
              <w:spacing w:after="0"/>
              <w:ind w:left="0" w:right="0" w:firstLine="0"/>
              <w:jc w:val="left"/>
              <w:rPr>
                <w:lang w:val="fr-FR"/>
              </w:rPr>
            </w:pPr>
            <w:r w:rsidRPr="00B53CA5">
              <w:rPr>
                <w:lang w:val="fr-FR"/>
              </w:rPr>
              <w:t xml:space="preserve"> </w:t>
            </w:r>
          </w:p>
          <w:p w14:paraId="1D156815" w14:textId="1308ADF1" w:rsidR="008737CE" w:rsidRPr="00B53CA5" w:rsidRDefault="004769BF" w:rsidP="00AF67F1">
            <w:pPr>
              <w:spacing w:after="1" w:line="239" w:lineRule="auto"/>
              <w:ind w:left="0" w:right="47" w:firstLine="0"/>
              <w:rPr>
                <w:lang w:val="fr-FR"/>
              </w:rPr>
            </w:pPr>
            <w:r w:rsidRPr="00B53CA5">
              <w:rPr>
                <w:lang w:val="fr-FR"/>
              </w:rPr>
              <w:t xml:space="preserve">Le-la Consultant-e travaillera sous la supervision du Cluster transformation économique et développement durable du PNUD en étroite collaboration avec le Ministère de la jeunesse et de l’emploi des jeunes. Il-Elle devra exécuter toutes les tâches planifiées dans sa méthodologie et devra fournir dans les délais, tous les livrables attendus de la mission. </w:t>
            </w:r>
          </w:p>
          <w:p w14:paraId="5946B99B" w14:textId="77777777" w:rsidR="008737CE" w:rsidRPr="00B53CA5" w:rsidRDefault="004769BF">
            <w:pPr>
              <w:spacing w:after="0"/>
              <w:ind w:left="0" w:right="0" w:firstLine="0"/>
              <w:jc w:val="left"/>
              <w:rPr>
                <w:lang w:val="fr-FR"/>
              </w:rPr>
            </w:pPr>
            <w:r w:rsidRPr="00B53CA5">
              <w:rPr>
                <w:lang w:val="fr-FR"/>
              </w:rPr>
              <w:t xml:space="preserve"> </w:t>
            </w:r>
          </w:p>
          <w:p w14:paraId="094B6733" w14:textId="77777777" w:rsidR="008737CE" w:rsidRPr="00B53CA5" w:rsidRDefault="004769BF">
            <w:pPr>
              <w:spacing w:after="0" w:line="239" w:lineRule="auto"/>
              <w:ind w:left="0" w:right="0" w:firstLine="0"/>
              <w:jc w:val="left"/>
              <w:rPr>
                <w:lang w:val="fr-FR"/>
              </w:rPr>
            </w:pPr>
            <w:r w:rsidRPr="00B53CA5">
              <w:rPr>
                <w:lang w:val="fr-FR"/>
              </w:rPr>
              <w:t xml:space="preserve">Il-Elle effectuera toutes les tâches en lien avec l’atteinte des résultats attendus y compris l’animation des différentes rencontres (concertations, réflexions, atelier) et la coordination des travaux de rédaction.  </w:t>
            </w:r>
          </w:p>
          <w:p w14:paraId="2CC2B49E" w14:textId="77777777" w:rsidR="008737CE" w:rsidRPr="00B53CA5" w:rsidRDefault="004769BF">
            <w:pPr>
              <w:spacing w:after="0"/>
              <w:ind w:left="0" w:right="0" w:firstLine="0"/>
              <w:jc w:val="left"/>
              <w:rPr>
                <w:lang w:val="fr-FR"/>
              </w:rPr>
            </w:pPr>
            <w:r w:rsidRPr="00B53CA5">
              <w:rPr>
                <w:sz w:val="10"/>
                <w:lang w:val="fr-FR"/>
              </w:rPr>
              <w:t xml:space="preserve"> </w:t>
            </w:r>
          </w:p>
        </w:tc>
      </w:tr>
      <w:tr w:rsidR="008737CE" w14:paraId="2AEAABB1" w14:textId="77777777">
        <w:trPr>
          <w:trHeight w:val="424"/>
        </w:trPr>
        <w:tc>
          <w:tcPr>
            <w:tcW w:w="9493" w:type="dxa"/>
            <w:tcBorders>
              <w:top w:val="single" w:sz="4" w:space="0" w:color="000080"/>
              <w:left w:val="single" w:sz="4" w:space="0" w:color="000080"/>
              <w:bottom w:val="single" w:sz="4" w:space="0" w:color="000000"/>
              <w:right w:val="single" w:sz="4" w:space="0" w:color="000080"/>
            </w:tcBorders>
            <w:shd w:val="clear" w:color="auto" w:fill="000080"/>
          </w:tcPr>
          <w:p w14:paraId="12A6FAA8" w14:textId="77777777" w:rsidR="008737CE" w:rsidRDefault="004769BF">
            <w:pPr>
              <w:spacing w:after="0"/>
              <w:ind w:left="329" w:right="0" w:firstLine="0"/>
              <w:jc w:val="left"/>
            </w:pPr>
            <w:r>
              <w:rPr>
                <w:color w:val="FFFFFF"/>
              </w:rPr>
              <w:t>V.</w:t>
            </w:r>
            <w:r>
              <w:rPr>
                <w:rFonts w:ascii="Arial" w:eastAsia="Arial" w:hAnsi="Arial" w:cs="Arial"/>
                <w:b/>
                <w:color w:val="FFFFFF"/>
              </w:rPr>
              <w:t xml:space="preserve"> </w:t>
            </w:r>
            <w:r>
              <w:rPr>
                <w:color w:val="FFFFFF"/>
              </w:rPr>
              <w:t xml:space="preserve">Méthodologie indicative  </w:t>
            </w:r>
          </w:p>
        </w:tc>
      </w:tr>
      <w:tr w:rsidR="008737CE" w:rsidRPr="00A17850" w14:paraId="3FF54F18" w14:textId="77777777" w:rsidTr="00AF67F1">
        <w:trPr>
          <w:trHeight w:val="2639"/>
        </w:trPr>
        <w:tc>
          <w:tcPr>
            <w:tcW w:w="9493" w:type="dxa"/>
            <w:tcBorders>
              <w:top w:val="single" w:sz="4" w:space="0" w:color="000000"/>
              <w:left w:val="single" w:sz="4" w:space="0" w:color="000000"/>
              <w:bottom w:val="single" w:sz="4" w:space="0" w:color="000000"/>
              <w:right w:val="single" w:sz="4" w:space="0" w:color="000000"/>
            </w:tcBorders>
          </w:tcPr>
          <w:p w14:paraId="2B499A5B" w14:textId="3A602E33" w:rsidR="008326A7" w:rsidRDefault="004769BF">
            <w:pPr>
              <w:spacing w:after="0"/>
              <w:ind w:left="0" w:right="0" w:firstLine="0"/>
              <w:jc w:val="left"/>
              <w:rPr>
                <w:lang w:val="fr-FR"/>
              </w:rPr>
            </w:pPr>
            <w:r w:rsidRPr="00B53CA5">
              <w:rPr>
                <w:lang w:val="fr-FR"/>
              </w:rPr>
              <w:t xml:space="preserve"> </w:t>
            </w:r>
          </w:p>
          <w:p w14:paraId="1BC93E32" w14:textId="5473927D" w:rsidR="008326A7" w:rsidRPr="00CF5C32" w:rsidRDefault="008326A7">
            <w:pPr>
              <w:spacing w:after="0"/>
              <w:ind w:left="0" w:right="0" w:firstLine="0"/>
              <w:jc w:val="left"/>
              <w:rPr>
                <w:b/>
                <w:bCs/>
                <w:lang w:val="fr-FR"/>
              </w:rPr>
            </w:pPr>
            <w:r w:rsidRPr="00CF5C32">
              <w:rPr>
                <w:b/>
                <w:bCs/>
                <w:lang w:val="fr-FR"/>
              </w:rPr>
              <w:t>OFFRE TECHINQUE ET FINANCIERE</w:t>
            </w:r>
          </w:p>
          <w:p w14:paraId="53DB0AE5" w14:textId="103107CD" w:rsidR="008737CE" w:rsidRPr="00B53CA5" w:rsidRDefault="004769BF">
            <w:pPr>
              <w:spacing w:after="0" w:line="239" w:lineRule="auto"/>
              <w:ind w:left="0" w:right="48" w:firstLine="0"/>
              <w:rPr>
                <w:lang w:val="fr-FR"/>
              </w:rPr>
            </w:pPr>
            <w:r w:rsidRPr="00B53CA5">
              <w:rPr>
                <w:lang w:val="fr-FR"/>
              </w:rPr>
              <w:t>Dans son dossier de candidature, le-la Consultant-e</w:t>
            </w:r>
            <w:r w:rsidR="0012503A">
              <w:rPr>
                <w:lang w:val="fr-FR"/>
              </w:rPr>
              <w:t xml:space="preserve"> </w:t>
            </w:r>
            <w:r w:rsidRPr="00B53CA5">
              <w:rPr>
                <w:lang w:val="fr-FR"/>
              </w:rPr>
              <w:t xml:space="preserve">soumettra une offre technique comprenant notamment l’approche méthodologique, sa compréhension de la mission, le déroulement de la mission, les différentes tâches à faire, le contenu global des documents à fournir et la stratégie de communication. L’offre technique sera accompagnée d’une offre financière détaillée. </w:t>
            </w:r>
          </w:p>
          <w:p w14:paraId="153DC5B1" w14:textId="36EF33E4" w:rsidR="008737CE" w:rsidRPr="00B53CA5" w:rsidRDefault="008737CE">
            <w:pPr>
              <w:spacing w:after="2" w:line="238" w:lineRule="auto"/>
              <w:ind w:left="0" w:right="9223" w:firstLine="0"/>
              <w:jc w:val="left"/>
              <w:rPr>
                <w:lang w:val="fr-FR"/>
              </w:rPr>
            </w:pPr>
          </w:p>
          <w:p w14:paraId="0DBCE6E0" w14:textId="39244084" w:rsidR="008737CE" w:rsidRPr="00B53CA5" w:rsidRDefault="004769BF" w:rsidP="00CF5C32">
            <w:pPr>
              <w:spacing w:after="0"/>
              <w:ind w:left="0" w:right="0" w:firstLine="0"/>
              <w:jc w:val="left"/>
              <w:rPr>
                <w:lang w:val="fr-FR"/>
              </w:rPr>
            </w:pPr>
            <w:r w:rsidRPr="00B53CA5">
              <w:rPr>
                <w:lang w:val="fr-FR"/>
              </w:rPr>
              <w:t xml:space="preserve"> La mission se déroule à </w:t>
            </w:r>
            <w:r w:rsidRPr="00AF67F1">
              <w:rPr>
                <w:lang w:val="fr-FR"/>
              </w:rPr>
              <w:t>Conakry</w:t>
            </w:r>
            <w:r w:rsidR="008326A7" w:rsidRPr="00AF67F1">
              <w:rPr>
                <w:lang w:val="fr-FR"/>
              </w:rPr>
              <w:t xml:space="preserve"> et</w:t>
            </w:r>
            <w:r w:rsidR="008326A7">
              <w:rPr>
                <w:lang w:val="fr-FR"/>
              </w:rPr>
              <w:t xml:space="preserve"> l’intérieur du pays</w:t>
            </w:r>
            <w:r w:rsidRPr="00B53CA5">
              <w:rPr>
                <w:lang w:val="fr-FR"/>
              </w:rPr>
              <w:t xml:space="preserve">. Le consultant prendra toutes les dispositions pour assurer la logistique nécessaire pour la mission.  </w:t>
            </w:r>
          </w:p>
          <w:p w14:paraId="04B57279" w14:textId="3ECBD37B" w:rsidR="008737CE" w:rsidRPr="00B53CA5" w:rsidRDefault="004769BF" w:rsidP="00CF5C32">
            <w:pPr>
              <w:spacing w:after="0"/>
              <w:ind w:left="0" w:right="0" w:firstLine="0"/>
              <w:jc w:val="left"/>
              <w:rPr>
                <w:lang w:val="fr-FR"/>
              </w:rPr>
            </w:pPr>
            <w:r w:rsidRPr="00B53CA5">
              <w:rPr>
                <w:lang w:val="fr-FR"/>
              </w:rPr>
              <w:t xml:space="preserve"> </w:t>
            </w:r>
          </w:p>
        </w:tc>
      </w:tr>
      <w:tr w:rsidR="008737CE" w14:paraId="0F933356" w14:textId="77777777">
        <w:trPr>
          <w:trHeight w:val="5126"/>
        </w:trPr>
        <w:tc>
          <w:tcPr>
            <w:tcW w:w="9493" w:type="dxa"/>
            <w:tcBorders>
              <w:top w:val="single" w:sz="4" w:space="0" w:color="000000"/>
              <w:left w:val="single" w:sz="4" w:space="0" w:color="000000"/>
              <w:bottom w:val="single" w:sz="4" w:space="0" w:color="000000"/>
              <w:right w:val="single" w:sz="4" w:space="0" w:color="000000"/>
            </w:tcBorders>
          </w:tcPr>
          <w:p w14:paraId="40E81BF8" w14:textId="77777777" w:rsidR="008737CE" w:rsidRPr="00AF67F1" w:rsidRDefault="004769BF">
            <w:pPr>
              <w:spacing w:after="0"/>
              <w:ind w:left="0" w:right="0" w:firstLine="0"/>
              <w:jc w:val="left"/>
              <w:rPr>
                <w:lang w:val="fr-FR"/>
              </w:rPr>
            </w:pPr>
            <w:r w:rsidRPr="00AF67F1">
              <w:rPr>
                <w:sz w:val="21"/>
                <w:u w:val="single" w:color="000000"/>
                <w:lang w:val="fr-FR"/>
              </w:rPr>
              <w:lastRenderedPageBreak/>
              <w:t>Chronogramme indicatif</w:t>
            </w:r>
            <w:r w:rsidRPr="00AF67F1">
              <w:rPr>
                <w:sz w:val="21"/>
                <w:lang w:val="fr-FR"/>
              </w:rPr>
              <w:t xml:space="preserve"> </w:t>
            </w:r>
          </w:p>
          <w:p w14:paraId="2385C12D" w14:textId="77777777" w:rsidR="008737CE" w:rsidRPr="00AF67F1" w:rsidRDefault="004769BF">
            <w:pPr>
              <w:spacing w:after="0"/>
              <w:ind w:left="0" w:right="0" w:firstLine="0"/>
              <w:jc w:val="left"/>
              <w:rPr>
                <w:lang w:val="fr-FR"/>
              </w:rPr>
            </w:pPr>
            <w:r w:rsidRPr="00AF67F1">
              <w:rPr>
                <w:sz w:val="21"/>
                <w:lang w:val="fr-FR"/>
              </w:rPr>
              <w:t xml:space="preserve"> </w:t>
            </w:r>
          </w:p>
          <w:tbl>
            <w:tblPr>
              <w:tblStyle w:val="TableGrid"/>
              <w:tblW w:w="8783" w:type="dxa"/>
              <w:tblInd w:w="282" w:type="dxa"/>
              <w:tblCellMar>
                <w:top w:w="46" w:type="dxa"/>
                <w:left w:w="107" w:type="dxa"/>
                <w:right w:w="73" w:type="dxa"/>
              </w:tblCellMar>
              <w:tblLook w:val="04A0" w:firstRow="1" w:lastRow="0" w:firstColumn="1" w:lastColumn="0" w:noHBand="0" w:noVBand="1"/>
            </w:tblPr>
            <w:tblGrid>
              <w:gridCol w:w="604"/>
              <w:gridCol w:w="7047"/>
              <w:gridCol w:w="1132"/>
            </w:tblGrid>
            <w:tr w:rsidR="008737CE" w:rsidRPr="00AF67F1" w14:paraId="12EC4A72" w14:textId="77777777">
              <w:trPr>
                <w:trHeight w:val="799"/>
              </w:trPr>
              <w:tc>
                <w:tcPr>
                  <w:tcW w:w="604" w:type="dxa"/>
                  <w:tcBorders>
                    <w:top w:val="single" w:sz="4" w:space="0" w:color="000000"/>
                    <w:left w:val="single" w:sz="4" w:space="0" w:color="000000"/>
                    <w:bottom w:val="single" w:sz="4" w:space="0" w:color="000000"/>
                    <w:right w:val="single" w:sz="4" w:space="0" w:color="000000"/>
                  </w:tcBorders>
                  <w:shd w:val="clear" w:color="auto" w:fill="F2F2F2"/>
                </w:tcPr>
                <w:p w14:paraId="5D50AB25" w14:textId="77777777" w:rsidR="008737CE" w:rsidRPr="00AF67F1" w:rsidRDefault="004769BF">
                  <w:pPr>
                    <w:spacing w:after="0"/>
                    <w:ind w:left="0" w:right="0" w:firstLine="0"/>
                    <w:jc w:val="left"/>
                    <w:rPr>
                      <w:lang w:val="fr-FR"/>
                    </w:rPr>
                  </w:pPr>
                  <w:r w:rsidRPr="00AF67F1">
                    <w:rPr>
                      <w:b/>
                      <w:sz w:val="20"/>
                      <w:lang w:val="fr-FR"/>
                    </w:rPr>
                    <w:t xml:space="preserve">N˚ </w:t>
                  </w:r>
                </w:p>
              </w:tc>
              <w:tc>
                <w:tcPr>
                  <w:tcW w:w="7048" w:type="dxa"/>
                  <w:tcBorders>
                    <w:top w:val="single" w:sz="4" w:space="0" w:color="000000"/>
                    <w:left w:val="single" w:sz="4" w:space="0" w:color="000000"/>
                    <w:bottom w:val="single" w:sz="4" w:space="0" w:color="000000"/>
                    <w:right w:val="single" w:sz="4" w:space="0" w:color="000000"/>
                  </w:tcBorders>
                  <w:shd w:val="clear" w:color="auto" w:fill="F2F2F2"/>
                </w:tcPr>
                <w:p w14:paraId="7AC29570" w14:textId="77777777" w:rsidR="008737CE" w:rsidRPr="00AF67F1" w:rsidRDefault="004769BF">
                  <w:pPr>
                    <w:spacing w:after="0"/>
                    <w:ind w:left="1" w:right="0" w:firstLine="0"/>
                    <w:jc w:val="left"/>
                    <w:rPr>
                      <w:lang w:val="fr-FR"/>
                    </w:rPr>
                  </w:pPr>
                  <w:r w:rsidRPr="00AF67F1">
                    <w:rPr>
                      <w:b/>
                      <w:sz w:val="20"/>
                      <w:lang w:val="fr-FR"/>
                    </w:rPr>
                    <w:t xml:space="preserve">Activités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14:paraId="15EBD237" w14:textId="77777777" w:rsidR="008737CE" w:rsidRPr="00AF67F1" w:rsidRDefault="004769BF">
                  <w:pPr>
                    <w:spacing w:after="0"/>
                    <w:ind w:left="0" w:right="0" w:firstLine="0"/>
                    <w:jc w:val="center"/>
                    <w:rPr>
                      <w:lang w:val="fr-FR"/>
                    </w:rPr>
                  </w:pPr>
                  <w:r w:rsidRPr="00AF67F1">
                    <w:rPr>
                      <w:b/>
                      <w:sz w:val="20"/>
                      <w:lang w:val="fr-FR"/>
                    </w:rPr>
                    <w:t xml:space="preserve">Nbre de jours facturées  </w:t>
                  </w:r>
                </w:p>
              </w:tc>
            </w:tr>
            <w:tr w:rsidR="008737CE" w14:paraId="6DE52E04" w14:textId="77777777">
              <w:trPr>
                <w:trHeight w:val="537"/>
              </w:trPr>
              <w:tc>
                <w:tcPr>
                  <w:tcW w:w="604" w:type="dxa"/>
                  <w:tcBorders>
                    <w:top w:val="single" w:sz="4" w:space="0" w:color="000000"/>
                    <w:left w:val="single" w:sz="4" w:space="0" w:color="000000"/>
                    <w:bottom w:val="single" w:sz="4" w:space="0" w:color="000000"/>
                    <w:right w:val="single" w:sz="4" w:space="0" w:color="000000"/>
                  </w:tcBorders>
                  <w:vAlign w:val="center"/>
                </w:tcPr>
                <w:p w14:paraId="0DF0AF50" w14:textId="77777777" w:rsidR="008737CE" w:rsidRPr="00AF67F1" w:rsidRDefault="004769BF">
                  <w:pPr>
                    <w:spacing w:after="0"/>
                    <w:ind w:left="0" w:right="0" w:firstLine="0"/>
                    <w:jc w:val="left"/>
                    <w:rPr>
                      <w:lang w:val="fr-FR"/>
                    </w:rPr>
                  </w:pPr>
                  <w:r w:rsidRPr="00AF67F1">
                    <w:rPr>
                      <w:sz w:val="20"/>
                      <w:lang w:val="fr-FR"/>
                    </w:rPr>
                    <w:t xml:space="preserve">1 </w:t>
                  </w:r>
                </w:p>
              </w:tc>
              <w:tc>
                <w:tcPr>
                  <w:tcW w:w="7048" w:type="dxa"/>
                  <w:tcBorders>
                    <w:top w:val="single" w:sz="4" w:space="0" w:color="000000"/>
                    <w:left w:val="single" w:sz="4" w:space="0" w:color="000000"/>
                    <w:bottom w:val="single" w:sz="4" w:space="0" w:color="000000"/>
                    <w:right w:val="single" w:sz="4" w:space="0" w:color="000000"/>
                  </w:tcBorders>
                </w:tcPr>
                <w:p w14:paraId="658256DE" w14:textId="5692F90D" w:rsidR="008737CE" w:rsidRPr="00B53CA5" w:rsidRDefault="004769BF">
                  <w:pPr>
                    <w:spacing w:after="0"/>
                    <w:ind w:left="1" w:right="0" w:firstLine="0"/>
                    <w:jc w:val="left"/>
                    <w:rPr>
                      <w:lang w:val="fr-FR"/>
                    </w:rPr>
                  </w:pPr>
                  <w:r w:rsidRPr="00B53CA5">
                    <w:rPr>
                      <w:sz w:val="20"/>
                      <w:lang w:val="fr-FR"/>
                    </w:rPr>
                    <w:t>Méthodologie détaillée définissant le planning opérationnel et les livrables par résultat validés par le PNUD et</w:t>
                  </w:r>
                  <w:r w:rsidR="00AF67F1">
                    <w:rPr>
                      <w:sz w:val="20"/>
                      <w:lang w:val="fr-FR"/>
                    </w:rPr>
                    <w:t xml:space="preserve"> le</w:t>
                  </w:r>
                  <w:r w:rsidRPr="00B53CA5">
                    <w:rPr>
                      <w:sz w:val="20"/>
                      <w:lang w:val="fr-FR"/>
                    </w:rPr>
                    <w:t xml:space="preserve">  MJEJ</w:t>
                  </w:r>
                  <w:r w:rsidR="00AF67F1">
                    <w:rPr>
                      <w:sz w:val="20"/>
                      <w:lang w:val="fr-FR"/>
                    </w:rPr>
                    <w:t> :</w:t>
                  </w:r>
                  <w:r w:rsidRPr="00B53CA5">
                    <w:rPr>
                      <w:sz w:val="20"/>
                      <w:lang w:val="fr-FR"/>
                    </w:rPr>
                    <w:t xml:space="preserve"> rapport méthodologique ; </w:t>
                  </w:r>
                </w:p>
              </w:tc>
              <w:tc>
                <w:tcPr>
                  <w:tcW w:w="1132" w:type="dxa"/>
                  <w:tcBorders>
                    <w:top w:val="single" w:sz="4" w:space="0" w:color="000000"/>
                    <w:left w:val="single" w:sz="4" w:space="0" w:color="000000"/>
                    <w:bottom w:val="single" w:sz="4" w:space="0" w:color="000000"/>
                    <w:right w:val="single" w:sz="4" w:space="0" w:color="000000"/>
                  </w:tcBorders>
                  <w:vAlign w:val="center"/>
                </w:tcPr>
                <w:p w14:paraId="544B7570" w14:textId="77777777" w:rsidR="008737CE" w:rsidRDefault="004769BF">
                  <w:pPr>
                    <w:spacing w:after="0"/>
                    <w:ind w:left="0" w:right="32" w:firstLine="0"/>
                    <w:jc w:val="center"/>
                  </w:pPr>
                  <w:r>
                    <w:rPr>
                      <w:sz w:val="20"/>
                    </w:rPr>
                    <w:t xml:space="preserve">5 </w:t>
                  </w:r>
                </w:p>
              </w:tc>
            </w:tr>
            <w:tr w:rsidR="008737CE" w14:paraId="62943C5A" w14:textId="77777777">
              <w:trPr>
                <w:trHeight w:val="538"/>
              </w:trPr>
              <w:tc>
                <w:tcPr>
                  <w:tcW w:w="604" w:type="dxa"/>
                  <w:tcBorders>
                    <w:top w:val="single" w:sz="4" w:space="0" w:color="000000"/>
                    <w:left w:val="single" w:sz="4" w:space="0" w:color="000000"/>
                    <w:bottom w:val="single" w:sz="4" w:space="0" w:color="000000"/>
                    <w:right w:val="single" w:sz="4" w:space="0" w:color="000000"/>
                  </w:tcBorders>
                  <w:vAlign w:val="center"/>
                </w:tcPr>
                <w:p w14:paraId="0C23319D" w14:textId="77777777" w:rsidR="008737CE" w:rsidRDefault="004769BF">
                  <w:pPr>
                    <w:spacing w:after="0"/>
                    <w:ind w:left="0" w:right="0" w:firstLine="0"/>
                    <w:jc w:val="left"/>
                  </w:pPr>
                  <w:r>
                    <w:rPr>
                      <w:sz w:val="20"/>
                    </w:rPr>
                    <w:t xml:space="preserve">2 </w:t>
                  </w:r>
                </w:p>
              </w:tc>
              <w:tc>
                <w:tcPr>
                  <w:tcW w:w="7048" w:type="dxa"/>
                  <w:tcBorders>
                    <w:top w:val="single" w:sz="4" w:space="0" w:color="000000"/>
                    <w:left w:val="single" w:sz="4" w:space="0" w:color="000000"/>
                    <w:bottom w:val="single" w:sz="4" w:space="0" w:color="000000"/>
                    <w:right w:val="single" w:sz="4" w:space="0" w:color="000000"/>
                  </w:tcBorders>
                </w:tcPr>
                <w:p w14:paraId="3D3305B7" w14:textId="28845EBA" w:rsidR="008737CE" w:rsidRPr="00B53CA5" w:rsidRDefault="00AF67F1">
                  <w:pPr>
                    <w:spacing w:after="0"/>
                    <w:ind w:left="1" w:right="0" w:firstLine="0"/>
                    <w:jc w:val="left"/>
                    <w:rPr>
                      <w:lang w:val="fr-FR"/>
                    </w:rPr>
                  </w:pPr>
                  <w:r w:rsidRPr="00AF67F1">
                    <w:rPr>
                      <w:sz w:val="20"/>
                      <w:lang w:val="fr-FR"/>
                    </w:rPr>
                    <w:t>Tr</w:t>
                  </w:r>
                  <w:r>
                    <w:rPr>
                      <w:sz w:val="20"/>
                      <w:lang w:val="fr-FR"/>
                    </w:rPr>
                    <w:t xml:space="preserve">avail analytique et </w:t>
                  </w:r>
                  <w:r w:rsidR="004769BF" w:rsidRPr="00B53CA5">
                    <w:rPr>
                      <w:sz w:val="20"/>
                      <w:lang w:val="fr-FR"/>
                    </w:rPr>
                    <w:t>des documents de politique et stratégie sectoriels et programmes et projets en faveur de la jeunesse en Guinée</w:t>
                  </w:r>
                  <w:r>
                    <w:rPr>
                      <w:sz w:val="20"/>
                      <w:lang w:val="fr-FR"/>
                    </w:rPr>
                    <w:t xml:space="preserve"> ; analyse de la situation de référence de la PNJ actuelle </w:t>
                  </w:r>
                  <w:r w:rsidR="004769BF" w:rsidRPr="00B53CA5">
                    <w:rPr>
                      <w:sz w:val="20"/>
                      <w:lang w:val="fr-FR"/>
                    </w:rPr>
                    <w:t xml:space="preserve">- Rapport 1 </w:t>
                  </w:r>
                </w:p>
              </w:tc>
              <w:tc>
                <w:tcPr>
                  <w:tcW w:w="1132" w:type="dxa"/>
                  <w:tcBorders>
                    <w:top w:val="single" w:sz="4" w:space="0" w:color="000000"/>
                    <w:left w:val="single" w:sz="4" w:space="0" w:color="000000"/>
                    <w:bottom w:val="single" w:sz="4" w:space="0" w:color="000000"/>
                    <w:right w:val="single" w:sz="4" w:space="0" w:color="000000"/>
                  </w:tcBorders>
                  <w:vAlign w:val="center"/>
                </w:tcPr>
                <w:p w14:paraId="696F015D" w14:textId="77777777" w:rsidR="008737CE" w:rsidRDefault="004769BF">
                  <w:pPr>
                    <w:spacing w:after="0"/>
                    <w:ind w:left="0" w:right="32" w:firstLine="0"/>
                    <w:jc w:val="center"/>
                  </w:pPr>
                  <w:r>
                    <w:rPr>
                      <w:sz w:val="20"/>
                    </w:rPr>
                    <w:t xml:space="preserve">5 </w:t>
                  </w:r>
                </w:p>
              </w:tc>
            </w:tr>
            <w:tr w:rsidR="008737CE" w14:paraId="3FC24BC2" w14:textId="77777777">
              <w:trPr>
                <w:trHeight w:val="1063"/>
              </w:trPr>
              <w:tc>
                <w:tcPr>
                  <w:tcW w:w="604" w:type="dxa"/>
                  <w:tcBorders>
                    <w:top w:val="single" w:sz="4" w:space="0" w:color="000000"/>
                    <w:left w:val="single" w:sz="4" w:space="0" w:color="000000"/>
                    <w:bottom w:val="single" w:sz="4" w:space="0" w:color="000000"/>
                    <w:right w:val="single" w:sz="4" w:space="0" w:color="000000"/>
                  </w:tcBorders>
                  <w:vAlign w:val="center"/>
                </w:tcPr>
                <w:p w14:paraId="6BDC344A" w14:textId="77777777" w:rsidR="008737CE" w:rsidRDefault="004769BF">
                  <w:pPr>
                    <w:spacing w:after="0"/>
                    <w:ind w:left="0" w:right="0" w:firstLine="0"/>
                    <w:jc w:val="left"/>
                  </w:pPr>
                  <w:r>
                    <w:rPr>
                      <w:sz w:val="20"/>
                    </w:rPr>
                    <w:t xml:space="preserve">3 </w:t>
                  </w:r>
                </w:p>
              </w:tc>
              <w:tc>
                <w:tcPr>
                  <w:tcW w:w="7048" w:type="dxa"/>
                  <w:tcBorders>
                    <w:top w:val="single" w:sz="4" w:space="0" w:color="000000"/>
                    <w:left w:val="single" w:sz="4" w:space="0" w:color="000000"/>
                    <w:bottom w:val="single" w:sz="4" w:space="0" w:color="000000"/>
                    <w:right w:val="single" w:sz="4" w:space="0" w:color="000000"/>
                  </w:tcBorders>
                </w:tcPr>
                <w:p w14:paraId="79CEF4CA" w14:textId="2DAF2C8D" w:rsidR="008737CE" w:rsidRPr="00B53CA5" w:rsidRDefault="00AF67F1">
                  <w:pPr>
                    <w:spacing w:after="0" w:line="261" w:lineRule="auto"/>
                    <w:ind w:left="1" w:right="0" w:firstLine="0"/>
                    <w:jc w:val="left"/>
                    <w:rPr>
                      <w:lang w:val="fr-FR"/>
                    </w:rPr>
                  </w:pPr>
                  <w:r>
                    <w:rPr>
                      <w:sz w:val="20"/>
                      <w:lang w:val="fr-FR"/>
                    </w:rPr>
                    <w:t>Evaluation de la mise en œuvre de la PNJ actuelle et des programmes en faveur des jeunes, par l’o</w:t>
                  </w:r>
                  <w:r w:rsidR="004769BF" w:rsidRPr="00B53CA5">
                    <w:rPr>
                      <w:sz w:val="20"/>
                      <w:lang w:val="fr-FR"/>
                    </w:rPr>
                    <w:t>rganisation de focus groupes et réunions de travail avec les partenaires nationaux, les acteurs de la jeunesse, les PTF</w:t>
                  </w:r>
                  <w:r>
                    <w:rPr>
                      <w:sz w:val="20"/>
                      <w:lang w:val="fr-FR"/>
                    </w:rPr>
                    <w:t> ; synthèse des résultats de ces rencontres :</w:t>
                  </w:r>
                  <w:r w:rsidR="004769BF" w:rsidRPr="00B53CA5">
                    <w:rPr>
                      <w:sz w:val="20"/>
                      <w:lang w:val="fr-FR"/>
                    </w:rPr>
                    <w:t xml:space="preserve"> Rapport 2  </w:t>
                  </w:r>
                </w:p>
                <w:p w14:paraId="1391D79B" w14:textId="59E02D6F" w:rsidR="008737CE" w:rsidRPr="00B53CA5" w:rsidRDefault="00AF67F1">
                  <w:pPr>
                    <w:spacing w:after="0"/>
                    <w:ind w:left="1" w:right="0" w:firstLine="0"/>
                    <w:jc w:val="left"/>
                    <w:rPr>
                      <w:lang w:val="fr-FR"/>
                    </w:rPr>
                  </w:pPr>
                  <w:r>
                    <w:rPr>
                      <w:sz w:val="20"/>
                      <w:lang w:val="fr-FR"/>
                    </w:rPr>
                    <w:t>A</w:t>
                  </w:r>
                  <w:r w:rsidR="004769BF" w:rsidRPr="00B53CA5">
                    <w:rPr>
                      <w:sz w:val="20"/>
                      <w:lang w:val="fr-FR"/>
                    </w:rPr>
                    <w:t xml:space="preserve">ctualisation de la </w:t>
                  </w:r>
                  <w:r>
                    <w:rPr>
                      <w:sz w:val="20"/>
                      <w:lang w:val="fr-FR"/>
                    </w:rPr>
                    <w:t>Po</w:t>
                  </w:r>
                  <w:r w:rsidR="004769BF" w:rsidRPr="00B53CA5">
                    <w:rPr>
                      <w:sz w:val="20"/>
                      <w:lang w:val="fr-FR"/>
                    </w:rPr>
                    <w:t xml:space="preserve">litique nationale de la jeunesse </w:t>
                  </w:r>
                  <w:r>
                    <w:rPr>
                      <w:sz w:val="20"/>
                      <w:lang w:val="fr-FR"/>
                    </w:rPr>
                    <w:t>et d</w:t>
                  </w:r>
                  <w:r w:rsidR="004769BF" w:rsidRPr="00B53CA5">
                    <w:rPr>
                      <w:sz w:val="20"/>
                      <w:lang w:val="fr-FR"/>
                    </w:rPr>
                    <w:t xml:space="preserve">es stratégies </w:t>
                  </w:r>
                  <w:r>
                    <w:rPr>
                      <w:sz w:val="20"/>
                      <w:lang w:val="fr-FR"/>
                    </w:rPr>
                    <w:t>thématiques qui la composent, avec plan d’actions prioritaires</w:t>
                  </w:r>
                  <w:r w:rsidR="004769BF" w:rsidRPr="00B53CA5">
                    <w:rPr>
                      <w:sz w:val="20"/>
                      <w:lang w:val="fr-FR"/>
                    </w:rPr>
                    <w:t xml:space="preserve"> </w:t>
                  </w:r>
                  <w:r>
                    <w:rPr>
                      <w:sz w:val="20"/>
                      <w:lang w:val="fr-FR"/>
                    </w:rPr>
                    <w:t>-</w:t>
                  </w:r>
                  <w:r w:rsidR="004769BF" w:rsidRPr="00B53CA5">
                    <w:rPr>
                      <w:sz w:val="20"/>
                      <w:lang w:val="fr-FR"/>
                    </w:rPr>
                    <w:t xml:space="preserve"> Rapport 3 </w:t>
                  </w:r>
                </w:p>
              </w:tc>
              <w:tc>
                <w:tcPr>
                  <w:tcW w:w="1132" w:type="dxa"/>
                  <w:tcBorders>
                    <w:top w:val="single" w:sz="4" w:space="0" w:color="000000"/>
                    <w:left w:val="single" w:sz="4" w:space="0" w:color="000000"/>
                    <w:bottom w:val="single" w:sz="4" w:space="0" w:color="000000"/>
                    <w:right w:val="single" w:sz="4" w:space="0" w:color="000000"/>
                  </w:tcBorders>
                  <w:vAlign w:val="center"/>
                </w:tcPr>
                <w:p w14:paraId="5D091047" w14:textId="576DCBB3" w:rsidR="008737CE" w:rsidRDefault="00822EFE">
                  <w:pPr>
                    <w:spacing w:after="0"/>
                    <w:ind w:left="0" w:right="32" w:firstLine="0"/>
                    <w:jc w:val="center"/>
                  </w:pPr>
                  <w:r>
                    <w:rPr>
                      <w:sz w:val="20"/>
                    </w:rPr>
                    <w:t>1</w:t>
                  </w:r>
                  <w:r w:rsidR="004769BF">
                    <w:rPr>
                      <w:sz w:val="20"/>
                    </w:rPr>
                    <w:t xml:space="preserve">0 </w:t>
                  </w:r>
                </w:p>
              </w:tc>
            </w:tr>
            <w:tr w:rsidR="008737CE" w14:paraId="6ABCD5BA" w14:textId="77777777">
              <w:trPr>
                <w:trHeight w:val="538"/>
              </w:trPr>
              <w:tc>
                <w:tcPr>
                  <w:tcW w:w="604" w:type="dxa"/>
                  <w:tcBorders>
                    <w:top w:val="single" w:sz="4" w:space="0" w:color="000000"/>
                    <w:left w:val="single" w:sz="4" w:space="0" w:color="000000"/>
                    <w:bottom w:val="single" w:sz="4" w:space="0" w:color="000000"/>
                    <w:right w:val="single" w:sz="4" w:space="0" w:color="000000"/>
                  </w:tcBorders>
                  <w:vAlign w:val="center"/>
                </w:tcPr>
                <w:p w14:paraId="1BE134C2" w14:textId="77777777" w:rsidR="008737CE" w:rsidRDefault="004769BF">
                  <w:pPr>
                    <w:spacing w:after="0"/>
                    <w:ind w:left="0" w:right="0" w:firstLine="0"/>
                    <w:jc w:val="left"/>
                  </w:pPr>
                  <w:r>
                    <w:rPr>
                      <w:sz w:val="20"/>
                    </w:rPr>
                    <w:t xml:space="preserve">4 </w:t>
                  </w:r>
                </w:p>
              </w:tc>
              <w:tc>
                <w:tcPr>
                  <w:tcW w:w="7048" w:type="dxa"/>
                  <w:tcBorders>
                    <w:top w:val="single" w:sz="4" w:space="0" w:color="000000"/>
                    <w:left w:val="single" w:sz="4" w:space="0" w:color="000000"/>
                    <w:bottom w:val="single" w:sz="4" w:space="0" w:color="000000"/>
                    <w:right w:val="single" w:sz="4" w:space="0" w:color="000000"/>
                  </w:tcBorders>
                </w:tcPr>
                <w:p w14:paraId="29B1C3CE" w14:textId="361D9CA6" w:rsidR="008737CE" w:rsidRPr="00B53CA5" w:rsidRDefault="004769BF">
                  <w:pPr>
                    <w:spacing w:after="0"/>
                    <w:ind w:left="1" w:right="0" w:firstLine="0"/>
                    <w:jc w:val="left"/>
                    <w:rPr>
                      <w:lang w:val="fr-FR"/>
                    </w:rPr>
                  </w:pPr>
                  <w:r w:rsidRPr="00B53CA5">
                    <w:rPr>
                      <w:sz w:val="20"/>
                      <w:lang w:val="fr-FR"/>
                    </w:rPr>
                    <w:t xml:space="preserve">Préparation et organisation de l’atelier de </w:t>
                  </w:r>
                  <w:r w:rsidR="00AF67F1">
                    <w:rPr>
                      <w:sz w:val="20"/>
                      <w:lang w:val="fr-FR"/>
                    </w:rPr>
                    <w:t>v</w:t>
                  </w:r>
                  <w:r w:rsidRPr="00B53CA5">
                    <w:rPr>
                      <w:sz w:val="20"/>
                      <w:lang w:val="fr-FR"/>
                    </w:rPr>
                    <w:t xml:space="preserve">alidation </w:t>
                  </w:r>
                  <w:r w:rsidR="00AF67F1">
                    <w:rPr>
                      <w:sz w:val="20"/>
                      <w:lang w:val="fr-FR"/>
                    </w:rPr>
                    <w:t xml:space="preserve">de haut niveau ; synthèse des résultats de cet atelier </w:t>
                  </w:r>
                  <w:r w:rsidRPr="00B53CA5">
                    <w:rPr>
                      <w:sz w:val="20"/>
                      <w:lang w:val="fr-FR"/>
                    </w:rPr>
                    <w:t xml:space="preserve">– Rapport 4 </w:t>
                  </w:r>
                </w:p>
              </w:tc>
              <w:tc>
                <w:tcPr>
                  <w:tcW w:w="1132" w:type="dxa"/>
                  <w:tcBorders>
                    <w:top w:val="single" w:sz="4" w:space="0" w:color="000000"/>
                    <w:left w:val="single" w:sz="4" w:space="0" w:color="000000"/>
                    <w:bottom w:val="single" w:sz="4" w:space="0" w:color="000000"/>
                    <w:right w:val="single" w:sz="4" w:space="0" w:color="000000"/>
                  </w:tcBorders>
                  <w:vAlign w:val="center"/>
                </w:tcPr>
                <w:p w14:paraId="23B17AB2" w14:textId="77777777" w:rsidR="008737CE" w:rsidRDefault="004769BF">
                  <w:pPr>
                    <w:spacing w:after="0"/>
                    <w:ind w:left="0" w:right="32" w:firstLine="0"/>
                    <w:jc w:val="center"/>
                  </w:pPr>
                  <w:r>
                    <w:rPr>
                      <w:sz w:val="20"/>
                    </w:rPr>
                    <w:t xml:space="preserve">10 </w:t>
                  </w:r>
                </w:p>
              </w:tc>
            </w:tr>
            <w:tr w:rsidR="008737CE" w14:paraId="32FDD65D" w14:textId="77777777">
              <w:trPr>
                <w:trHeight w:val="539"/>
              </w:trPr>
              <w:tc>
                <w:tcPr>
                  <w:tcW w:w="604" w:type="dxa"/>
                  <w:tcBorders>
                    <w:top w:val="single" w:sz="4" w:space="0" w:color="000000"/>
                    <w:left w:val="single" w:sz="4" w:space="0" w:color="000000"/>
                    <w:bottom w:val="single" w:sz="4" w:space="0" w:color="000000"/>
                    <w:right w:val="single" w:sz="4" w:space="0" w:color="000000"/>
                  </w:tcBorders>
                  <w:vAlign w:val="center"/>
                </w:tcPr>
                <w:p w14:paraId="69604351" w14:textId="77777777" w:rsidR="008737CE" w:rsidRDefault="004769BF">
                  <w:pPr>
                    <w:spacing w:after="0"/>
                    <w:ind w:left="0" w:right="0" w:firstLine="0"/>
                    <w:jc w:val="left"/>
                  </w:pPr>
                  <w:r>
                    <w:rPr>
                      <w:sz w:val="20"/>
                    </w:rPr>
                    <w:t xml:space="preserve">5 </w:t>
                  </w:r>
                </w:p>
              </w:tc>
              <w:tc>
                <w:tcPr>
                  <w:tcW w:w="7048" w:type="dxa"/>
                  <w:tcBorders>
                    <w:top w:val="single" w:sz="4" w:space="0" w:color="000000"/>
                    <w:left w:val="single" w:sz="4" w:space="0" w:color="000000"/>
                    <w:bottom w:val="single" w:sz="4" w:space="0" w:color="000000"/>
                    <w:right w:val="single" w:sz="4" w:space="0" w:color="000000"/>
                  </w:tcBorders>
                </w:tcPr>
                <w:p w14:paraId="2D037935" w14:textId="3FE998EF" w:rsidR="008737CE" w:rsidRPr="00B53CA5" w:rsidRDefault="004769BF">
                  <w:pPr>
                    <w:spacing w:after="0"/>
                    <w:ind w:left="1" w:right="0" w:firstLine="0"/>
                    <w:jc w:val="left"/>
                    <w:rPr>
                      <w:lang w:val="fr-FR"/>
                    </w:rPr>
                  </w:pPr>
                  <w:r w:rsidRPr="00B53CA5">
                    <w:rPr>
                      <w:sz w:val="20"/>
                      <w:lang w:val="fr-FR"/>
                    </w:rPr>
                    <w:t xml:space="preserve">Finalisation du document de la PNJ et autres documents relatifs, et présentation du rapport final de la mission.  </w:t>
                  </w:r>
                  <w:r w:rsidR="00FA3D14">
                    <w:rPr>
                      <w:sz w:val="20"/>
                      <w:lang w:val="fr-FR"/>
                    </w:rPr>
                    <w:t>Rapport 5</w:t>
                  </w:r>
                </w:p>
              </w:tc>
              <w:tc>
                <w:tcPr>
                  <w:tcW w:w="1132" w:type="dxa"/>
                  <w:tcBorders>
                    <w:top w:val="single" w:sz="4" w:space="0" w:color="000000"/>
                    <w:left w:val="single" w:sz="4" w:space="0" w:color="000000"/>
                    <w:bottom w:val="single" w:sz="4" w:space="0" w:color="000000"/>
                    <w:right w:val="single" w:sz="4" w:space="0" w:color="000000"/>
                  </w:tcBorders>
                  <w:vAlign w:val="center"/>
                </w:tcPr>
                <w:p w14:paraId="794DA69D" w14:textId="77777777" w:rsidR="008737CE" w:rsidRDefault="004769BF">
                  <w:pPr>
                    <w:spacing w:after="0"/>
                    <w:ind w:left="0" w:right="32" w:firstLine="0"/>
                    <w:jc w:val="center"/>
                  </w:pPr>
                  <w:r>
                    <w:rPr>
                      <w:sz w:val="20"/>
                    </w:rPr>
                    <w:t xml:space="preserve">10 </w:t>
                  </w:r>
                </w:p>
              </w:tc>
            </w:tr>
            <w:tr w:rsidR="008737CE" w14:paraId="4A802F70" w14:textId="77777777">
              <w:trPr>
                <w:trHeight w:val="272"/>
              </w:trPr>
              <w:tc>
                <w:tcPr>
                  <w:tcW w:w="604" w:type="dxa"/>
                  <w:tcBorders>
                    <w:top w:val="single" w:sz="4" w:space="0" w:color="000000"/>
                    <w:left w:val="single" w:sz="4" w:space="0" w:color="000000"/>
                    <w:bottom w:val="single" w:sz="4" w:space="0" w:color="000000"/>
                    <w:right w:val="single" w:sz="4" w:space="0" w:color="000000"/>
                  </w:tcBorders>
                  <w:shd w:val="clear" w:color="auto" w:fill="F2F2F2"/>
                </w:tcPr>
                <w:p w14:paraId="4F15750B" w14:textId="77777777" w:rsidR="008737CE" w:rsidRDefault="004769BF">
                  <w:pPr>
                    <w:spacing w:after="0"/>
                    <w:ind w:left="0" w:right="0" w:firstLine="0"/>
                    <w:jc w:val="left"/>
                  </w:pPr>
                  <w:r>
                    <w:rPr>
                      <w:sz w:val="20"/>
                    </w:rPr>
                    <w:t xml:space="preserve"> </w:t>
                  </w:r>
                </w:p>
              </w:tc>
              <w:tc>
                <w:tcPr>
                  <w:tcW w:w="7048" w:type="dxa"/>
                  <w:tcBorders>
                    <w:top w:val="single" w:sz="4" w:space="0" w:color="000000"/>
                    <w:left w:val="single" w:sz="4" w:space="0" w:color="000000"/>
                    <w:bottom w:val="single" w:sz="4" w:space="0" w:color="000000"/>
                    <w:right w:val="single" w:sz="4" w:space="0" w:color="000000"/>
                  </w:tcBorders>
                  <w:shd w:val="clear" w:color="auto" w:fill="F2F2F2"/>
                </w:tcPr>
                <w:p w14:paraId="0537F6E0" w14:textId="77777777" w:rsidR="008737CE" w:rsidRPr="00B53CA5" w:rsidRDefault="004769BF">
                  <w:pPr>
                    <w:spacing w:after="0"/>
                    <w:ind w:left="1" w:right="0" w:firstLine="0"/>
                    <w:jc w:val="left"/>
                    <w:rPr>
                      <w:lang w:val="fr-FR"/>
                    </w:rPr>
                  </w:pPr>
                  <w:r w:rsidRPr="00B53CA5">
                    <w:rPr>
                      <w:sz w:val="20"/>
                      <w:lang w:val="fr-FR"/>
                    </w:rPr>
                    <w:t xml:space="preserve">DUREE TOTALE DE LA MISSION DE CONSULTATION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14:paraId="4F06949D" w14:textId="0982C3AA" w:rsidR="008737CE" w:rsidRDefault="00822EFE">
                  <w:pPr>
                    <w:spacing w:after="0"/>
                    <w:ind w:left="0" w:right="35" w:firstLine="0"/>
                    <w:jc w:val="center"/>
                  </w:pPr>
                  <w:r>
                    <w:rPr>
                      <w:b/>
                      <w:sz w:val="20"/>
                    </w:rPr>
                    <w:t>4</w:t>
                  </w:r>
                  <w:r w:rsidR="004769BF">
                    <w:rPr>
                      <w:b/>
                      <w:sz w:val="20"/>
                    </w:rPr>
                    <w:t xml:space="preserve">0 jours </w:t>
                  </w:r>
                </w:p>
              </w:tc>
            </w:tr>
          </w:tbl>
          <w:p w14:paraId="32A8C4D0" w14:textId="77777777" w:rsidR="008737CE" w:rsidRDefault="004769BF">
            <w:pPr>
              <w:spacing w:after="0"/>
              <w:ind w:left="0" w:right="0" w:firstLine="0"/>
              <w:jc w:val="left"/>
            </w:pPr>
            <w:r>
              <w:rPr>
                <w:sz w:val="21"/>
              </w:rPr>
              <w:t xml:space="preserve"> </w:t>
            </w:r>
            <w:r>
              <w:rPr>
                <w:sz w:val="2"/>
                <w:vertAlign w:val="subscript"/>
              </w:rPr>
              <w:t xml:space="preserve"> </w:t>
            </w:r>
          </w:p>
        </w:tc>
      </w:tr>
      <w:tr w:rsidR="008737CE" w14:paraId="345F289A" w14:textId="77777777">
        <w:trPr>
          <w:trHeight w:val="317"/>
        </w:trPr>
        <w:tc>
          <w:tcPr>
            <w:tcW w:w="9493" w:type="dxa"/>
            <w:tcBorders>
              <w:top w:val="single" w:sz="4" w:space="0" w:color="000000"/>
              <w:left w:val="single" w:sz="4" w:space="0" w:color="000080"/>
              <w:bottom w:val="single" w:sz="4" w:space="0" w:color="000080"/>
              <w:right w:val="nil"/>
            </w:tcBorders>
            <w:shd w:val="clear" w:color="auto" w:fill="000080"/>
          </w:tcPr>
          <w:p w14:paraId="1D252091" w14:textId="77777777" w:rsidR="008737CE" w:rsidRDefault="004769BF">
            <w:pPr>
              <w:spacing w:after="0"/>
              <w:ind w:left="276" w:right="0" w:firstLine="0"/>
              <w:jc w:val="left"/>
            </w:pPr>
            <w:r>
              <w:rPr>
                <w:color w:val="FFFFFF"/>
              </w:rPr>
              <w:t>VI.</w:t>
            </w:r>
            <w:r>
              <w:rPr>
                <w:rFonts w:ascii="Arial" w:eastAsia="Arial" w:hAnsi="Arial" w:cs="Arial"/>
                <w:b/>
                <w:color w:val="FFFFFF"/>
              </w:rPr>
              <w:t xml:space="preserve"> </w:t>
            </w:r>
            <w:r>
              <w:rPr>
                <w:color w:val="FFFFFF"/>
              </w:rPr>
              <w:t xml:space="preserve">Livrables  </w:t>
            </w:r>
          </w:p>
        </w:tc>
      </w:tr>
      <w:tr w:rsidR="008737CE" w:rsidRPr="00A17850" w14:paraId="0CA8CDE6" w14:textId="77777777">
        <w:trPr>
          <w:trHeight w:val="2183"/>
        </w:trPr>
        <w:tc>
          <w:tcPr>
            <w:tcW w:w="9493" w:type="dxa"/>
            <w:tcBorders>
              <w:top w:val="single" w:sz="4" w:space="0" w:color="000080"/>
              <w:left w:val="single" w:sz="4" w:space="0" w:color="000080"/>
              <w:bottom w:val="single" w:sz="4" w:space="0" w:color="000080"/>
              <w:right w:val="single" w:sz="4" w:space="0" w:color="000080"/>
            </w:tcBorders>
          </w:tcPr>
          <w:p w14:paraId="41A57230" w14:textId="77777777" w:rsidR="008737CE" w:rsidRPr="00B53CA5" w:rsidRDefault="004769BF">
            <w:pPr>
              <w:spacing w:after="163"/>
              <w:ind w:left="0" w:right="0" w:firstLine="0"/>
              <w:jc w:val="left"/>
              <w:rPr>
                <w:lang w:val="fr-FR"/>
              </w:rPr>
            </w:pPr>
            <w:r w:rsidRPr="00B53CA5">
              <w:rPr>
                <w:sz w:val="21"/>
                <w:lang w:val="fr-FR"/>
              </w:rPr>
              <w:t xml:space="preserve">Le Consultant recruté devra fournir dans les délais impartis, les livrables ci-dessous : </w:t>
            </w:r>
          </w:p>
          <w:p w14:paraId="031A77E7" w14:textId="77777777" w:rsidR="008737CE" w:rsidRPr="00B53CA5" w:rsidRDefault="004769BF">
            <w:pPr>
              <w:spacing w:after="12"/>
              <w:ind w:left="360" w:right="0" w:firstLine="0"/>
              <w:jc w:val="left"/>
              <w:rPr>
                <w:lang w:val="fr-FR"/>
              </w:rPr>
            </w:pPr>
            <w:r w:rsidRPr="00B53CA5">
              <w:rPr>
                <w:i/>
                <w:lang w:val="fr-FR"/>
              </w:rPr>
              <w:t xml:space="preserve">I.  Les documents techniques en version Word (cinq copies sur papier) :  </w:t>
            </w:r>
          </w:p>
          <w:p w14:paraId="297691F1" w14:textId="77777777" w:rsidR="008737CE" w:rsidRPr="00B53CA5" w:rsidRDefault="004769BF">
            <w:pPr>
              <w:numPr>
                <w:ilvl w:val="0"/>
                <w:numId w:val="4"/>
              </w:numPr>
              <w:spacing w:after="12"/>
              <w:ind w:right="0" w:hanging="283"/>
              <w:jc w:val="left"/>
              <w:rPr>
                <w:lang w:val="fr-FR"/>
              </w:rPr>
            </w:pPr>
            <w:r w:rsidRPr="00B53CA5">
              <w:rPr>
                <w:lang w:val="fr-FR"/>
              </w:rPr>
              <w:t xml:space="preserve">La Politique nationale de la jeunesse et les documents de stratégies validés   </w:t>
            </w:r>
          </w:p>
          <w:p w14:paraId="44C986CC" w14:textId="77777777" w:rsidR="008737CE" w:rsidRPr="00B53CA5" w:rsidRDefault="004769BF">
            <w:pPr>
              <w:numPr>
                <w:ilvl w:val="0"/>
                <w:numId w:val="4"/>
              </w:numPr>
              <w:spacing w:after="25"/>
              <w:ind w:right="0" w:hanging="283"/>
              <w:jc w:val="left"/>
              <w:rPr>
                <w:lang w:val="fr-FR"/>
              </w:rPr>
            </w:pPr>
            <w:r w:rsidRPr="00B53CA5">
              <w:rPr>
                <w:lang w:val="fr-FR"/>
              </w:rPr>
              <w:t xml:space="preserve">Le rapport de l’atelier de validation La Politique nationale de la jeunesse et les documents de stratégies </w:t>
            </w:r>
            <w:r w:rsidRPr="00B53CA5">
              <w:rPr>
                <w:i/>
                <w:lang w:val="fr-FR"/>
              </w:rPr>
              <w:t xml:space="preserve"> </w:t>
            </w:r>
          </w:p>
          <w:p w14:paraId="02450C17" w14:textId="77777777" w:rsidR="008737CE" w:rsidRPr="00B53CA5" w:rsidRDefault="004769BF">
            <w:pPr>
              <w:spacing w:after="0"/>
              <w:ind w:left="1080" w:right="0" w:hanging="720"/>
              <w:rPr>
                <w:lang w:val="fr-FR"/>
              </w:rPr>
            </w:pPr>
            <w:r w:rsidRPr="00B53CA5">
              <w:rPr>
                <w:i/>
                <w:sz w:val="21"/>
                <w:lang w:val="fr-FR"/>
              </w:rPr>
              <w:t>ii.</w:t>
            </w:r>
            <w:r w:rsidRPr="00B53CA5">
              <w:rPr>
                <w:rFonts w:ascii="Arial" w:eastAsia="Arial" w:hAnsi="Arial" w:cs="Arial"/>
                <w:i/>
                <w:sz w:val="21"/>
                <w:lang w:val="fr-FR"/>
              </w:rPr>
              <w:t xml:space="preserve"> </w:t>
            </w:r>
            <w:r w:rsidRPr="00B53CA5">
              <w:rPr>
                <w:i/>
                <w:lang w:val="fr-FR"/>
              </w:rPr>
              <w:t>Une clé USB contenant tous les documents techniques y compris les documents de politiques sectorielles pour la valorisation du capital humain consultés.,</w:t>
            </w:r>
            <w:r w:rsidRPr="00B53CA5">
              <w:rPr>
                <w:i/>
                <w:sz w:val="21"/>
                <w:lang w:val="fr-FR"/>
              </w:rPr>
              <w:t xml:space="preserve"> </w:t>
            </w:r>
          </w:p>
          <w:p w14:paraId="2DED88E0" w14:textId="77777777" w:rsidR="008737CE" w:rsidRPr="00B53CA5" w:rsidRDefault="004769BF">
            <w:pPr>
              <w:spacing w:after="0"/>
              <w:ind w:left="360" w:right="0" w:firstLine="0"/>
              <w:jc w:val="left"/>
              <w:rPr>
                <w:lang w:val="fr-FR"/>
              </w:rPr>
            </w:pPr>
            <w:r w:rsidRPr="00B53CA5">
              <w:rPr>
                <w:i/>
                <w:sz w:val="10"/>
                <w:lang w:val="fr-FR"/>
              </w:rPr>
              <w:t xml:space="preserve"> </w:t>
            </w:r>
          </w:p>
        </w:tc>
      </w:tr>
      <w:tr w:rsidR="008737CE" w:rsidRPr="00A17850" w14:paraId="0146181F" w14:textId="77777777">
        <w:trPr>
          <w:trHeight w:val="377"/>
        </w:trPr>
        <w:tc>
          <w:tcPr>
            <w:tcW w:w="9493" w:type="dxa"/>
            <w:tcBorders>
              <w:top w:val="single" w:sz="4" w:space="0" w:color="000080"/>
              <w:left w:val="single" w:sz="4" w:space="0" w:color="000080"/>
              <w:bottom w:val="single" w:sz="4" w:space="0" w:color="000080"/>
              <w:right w:val="nil"/>
            </w:tcBorders>
            <w:shd w:val="clear" w:color="auto" w:fill="000080"/>
          </w:tcPr>
          <w:p w14:paraId="42EFB6D6" w14:textId="77777777" w:rsidR="008737CE" w:rsidRPr="00B53CA5" w:rsidRDefault="004769BF">
            <w:pPr>
              <w:spacing w:after="0"/>
              <w:ind w:left="223" w:right="0" w:firstLine="0"/>
              <w:jc w:val="left"/>
              <w:rPr>
                <w:lang w:val="fr-FR"/>
              </w:rPr>
            </w:pPr>
            <w:r w:rsidRPr="00B53CA5">
              <w:rPr>
                <w:color w:val="FFFFFF"/>
                <w:lang w:val="fr-FR"/>
              </w:rPr>
              <w:t>VII.</w:t>
            </w:r>
            <w:r w:rsidRPr="00B53CA5">
              <w:rPr>
                <w:rFonts w:ascii="Arial" w:eastAsia="Arial" w:hAnsi="Arial" w:cs="Arial"/>
                <w:b/>
                <w:color w:val="FFFFFF"/>
                <w:lang w:val="fr-FR"/>
              </w:rPr>
              <w:t xml:space="preserve"> </w:t>
            </w:r>
            <w:r w:rsidRPr="00B53CA5">
              <w:rPr>
                <w:color w:val="FFFFFF"/>
                <w:lang w:val="fr-FR"/>
              </w:rPr>
              <w:t xml:space="preserve">Durée et zone couverte par la mission </w:t>
            </w:r>
          </w:p>
        </w:tc>
      </w:tr>
      <w:tr w:rsidR="008737CE" w:rsidRPr="0012503A" w14:paraId="2B6C52A7" w14:textId="77777777">
        <w:trPr>
          <w:trHeight w:val="751"/>
        </w:trPr>
        <w:tc>
          <w:tcPr>
            <w:tcW w:w="9493" w:type="dxa"/>
            <w:tcBorders>
              <w:top w:val="single" w:sz="4" w:space="0" w:color="000080"/>
              <w:left w:val="single" w:sz="4" w:space="0" w:color="000080"/>
              <w:bottom w:val="single" w:sz="4" w:space="0" w:color="000080"/>
              <w:right w:val="single" w:sz="4" w:space="0" w:color="000080"/>
            </w:tcBorders>
          </w:tcPr>
          <w:p w14:paraId="791811B5" w14:textId="3320E655" w:rsidR="008737CE" w:rsidRPr="00D741ED" w:rsidRDefault="004769BF">
            <w:pPr>
              <w:spacing w:after="0"/>
              <w:ind w:left="0" w:right="0" w:firstLine="0"/>
              <w:rPr>
                <w:lang w:val="fr-FR"/>
              </w:rPr>
            </w:pPr>
            <w:r w:rsidRPr="00B53CA5">
              <w:rPr>
                <w:lang w:val="fr-FR"/>
              </w:rPr>
              <w:t xml:space="preserve">La mission démarrera dès la signature du contrat pour une durée de </w:t>
            </w:r>
            <w:r w:rsidR="0012503A">
              <w:rPr>
                <w:lang w:val="fr-FR"/>
              </w:rPr>
              <w:t xml:space="preserve">cinquante </w:t>
            </w:r>
            <w:r w:rsidRPr="00B53CA5">
              <w:rPr>
                <w:lang w:val="fr-FR"/>
              </w:rPr>
              <w:t>jours (</w:t>
            </w:r>
            <w:r w:rsidR="0012503A">
              <w:rPr>
                <w:lang w:val="fr-FR"/>
              </w:rPr>
              <w:t>5</w:t>
            </w:r>
            <w:r w:rsidRPr="00D741ED">
              <w:rPr>
                <w:lang w:val="fr-FR"/>
              </w:rPr>
              <w:t xml:space="preserve">0) jours ouvrables. Elle se déroulera essentiellement à Conakry. </w:t>
            </w:r>
          </w:p>
        </w:tc>
      </w:tr>
      <w:tr w:rsidR="008737CE" w14:paraId="551DD5E2" w14:textId="77777777">
        <w:trPr>
          <w:trHeight w:val="317"/>
        </w:trPr>
        <w:tc>
          <w:tcPr>
            <w:tcW w:w="9493" w:type="dxa"/>
            <w:tcBorders>
              <w:top w:val="single" w:sz="4" w:space="0" w:color="000080"/>
              <w:left w:val="single" w:sz="4" w:space="0" w:color="000080"/>
              <w:bottom w:val="single" w:sz="4" w:space="0" w:color="000080"/>
              <w:right w:val="nil"/>
            </w:tcBorders>
            <w:shd w:val="clear" w:color="auto" w:fill="000080"/>
          </w:tcPr>
          <w:p w14:paraId="75ABA675" w14:textId="77777777" w:rsidR="008737CE" w:rsidRDefault="004769BF">
            <w:pPr>
              <w:spacing w:after="0"/>
              <w:ind w:left="168" w:right="0" w:firstLine="0"/>
              <w:jc w:val="left"/>
            </w:pPr>
            <w:r>
              <w:rPr>
                <w:color w:val="FFFFFF"/>
              </w:rPr>
              <w:t>VIII.</w:t>
            </w:r>
            <w:r>
              <w:rPr>
                <w:rFonts w:ascii="Arial" w:eastAsia="Arial" w:hAnsi="Arial" w:cs="Arial"/>
                <w:b/>
                <w:color w:val="FFFFFF"/>
              </w:rPr>
              <w:t xml:space="preserve"> </w:t>
            </w:r>
            <w:r>
              <w:rPr>
                <w:color w:val="FFFFFF"/>
              </w:rPr>
              <w:t xml:space="preserve">Qualification du consultant </w:t>
            </w:r>
          </w:p>
        </w:tc>
      </w:tr>
      <w:tr w:rsidR="008737CE" w:rsidRPr="00A17850" w14:paraId="64B18838" w14:textId="77777777">
        <w:trPr>
          <w:trHeight w:val="4907"/>
        </w:trPr>
        <w:tc>
          <w:tcPr>
            <w:tcW w:w="9493" w:type="dxa"/>
            <w:tcBorders>
              <w:top w:val="single" w:sz="4" w:space="0" w:color="000080"/>
              <w:left w:val="single" w:sz="4" w:space="0" w:color="000080"/>
              <w:bottom w:val="single" w:sz="4" w:space="0" w:color="000080"/>
              <w:right w:val="single" w:sz="4" w:space="0" w:color="000080"/>
            </w:tcBorders>
          </w:tcPr>
          <w:p w14:paraId="74A310D8" w14:textId="0A9F7AB8" w:rsidR="008737CE" w:rsidRPr="00B53CA5" w:rsidRDefault="004769BF">
            <w:pPr>
              <w:spacing w:after="205"/>
              <w:ind w:left="0" w:right="48" w:firstLine="0"/>
              <w:rPr>
                <w:lang w:val="fr-FR"/>
              </w:rPr>
            </w:pPr>
            <w:r w:rsidRPr="00B53CA5">
              <w:rPr>
                <w:lang w:val="fr-FR"/>
              </w:rPr>
              <w:lastRenderedPageBreak/>
              <w:t>La présente mission sera réalisée par un</w:t>
            </w:r>
            <w:r w:rsidR="002E2DBD">
              <w:rPr>
                <w:lang w:val="fr-FR"/>
              </w:rPr>
              <w:t>-e</w:t>
            </w:r>
            <w:r w:rsidRPr="00B53CA5">
              <w:rPr>
                <w:lang w:val="fr-FR"/>
              </w:rPr>
              <w:t xml:space="preserve"> consultant</w:t>
            </w:r>
            <w:r w:rsidR="002E2DBD">
              <w:rPr>
                <w:lang w:val="fr-FR"/>
              </w:rPr>
              <w:t>-e</w:t>
            </w:r>
            <w:r w:rsidRPr="00B53CA5">
              <w:rPr>
                <w:lang w:val="fr-FR"/>
              </w:rPr>
              <w:t xml:space="preserve"> </w:t>
            </w:r>
            <w:r w:rsidR="002E2DBD">
              <w:rPr>
                <w:lang w:val="fr-FR"/>
              </w:rPr>
              <w:t>national-e</w:t>
            </w:r>
            <w:r w:rsidRPr="00B53CA5">
              <w:rPr>
                <w:lang w:val="fr-FR"/>
              </w:rPr>
              <w:t xml:space="preserve"> ayant une expérience reconnue et avérée d’au moins </w:t>
            </w:r>
            <w:r w:rsidR="002E2DBD">
              <w:rPr>
                <w:lang w:val="fr-FR"/>
              </w:rPr>
              <w:t>dix</w:t>
            </w:r>
            <w:r w:rsidRPr="00B53CA5">
              <w:rPr>
                <w:lang w:val="fr-FR"/>
              </w:rPr>
              <w:t xml:space="preserve"> ans dans l’élaboration des documents de politique et de stratégies</w:t>
            </w:r>
            <w:r w:rsidR="002E2DBD">
              <w:rPr>
                <w:lang w:val="fr-FR"/>
              </w:rPr>
              <w:t xml:space="preserve"> en faveur des jeunes</w:t>
            </w:r>
            <w:r w:rsidRPr="00B53CA5">
              <w:rPr>
                <w:lang w:val="fr-FR"/>
              </w:rPr>
              <w:t xml:space="preserve">. Il est ouvert à tous les candidat(e)s remplissant les conditions ci-après : </w:t>
            </w:r>
          </w:p>
          <w:p w14:paraId="2ECA3531" w14:textId="77777777" w:rsidR="008737CE" w:rsidRPr="00B53CA5" w:rsidRDefault="004769BF">
            <w:pPr>
              <w:numPr>
                <w:ilvl w:val="0"/>
                <w:numId w:val="5"/>
              </w:numPr>
              <w:spacing w:after="44" w:line="239" w:lineRule="auto"/>
              <w:ind w:right="0" w:hanging="360"/>
              <w:jc w:val="left"/>
              <w:rPr>
                <w:lang w:val="fr-FR"/>
              </w:rPr>
            </w:pPr>
            <w:r w:rsidRPr="00B53CA5">
              <w:rPr>
                <w:lang w:val="fr-FR"/>
              </w:rPr>
              <w:t xml:space="preserve">Avoir au minimum un Master ou un diplôme équivalent en sciences économiques, ou sociales, en particulier en économie du développement, en analyse macroéconomique et sectorielle, en économie du travail, ou dans une discipline similaire ; </w:t>
            </w:r>
          </w:p>
          <w:p w14:paraId="1E67630F" w14:textId="169F4FB0" w:rsidR="008737CE" w:rsidRPr="00B53CA5" w:rsidRDefault="004769BF">
            <w:pPr>
              <w:numPr>
                <w:ilvl w:val="0"/>
                <w:numId w:val="5"/>
              </w:numPr>
              <w:spacing w:after="46" w:line="239" w:lineRule="auto"/>
              <w:ind w:right="0" w:hanging="360"/>
              <w:jc w:val="left"/>
              <w:rPr>
                <w:lang w:val="fr-FR"/>
              </w:rPr>
            </w:pPr>
            <w:r w:rsidRPr="00B53CA5">
              <w:rPr>
                <w:lang w:val="fr-FR"/>
              </w:rPr>
              <w:t xml:space="preserve">Justifier d'une expérience d'au moins </w:t>
            </w:r>
            <w:r w:rsidR="0040065A">
              <w:rPr>
                <w:lang w:val="fr-FR"/>
              </w:rPr>
              <w:t>dix</w:t>
            </w:r>
            <w:r w:rsidRPr="00B53CA5">
              <w:rPr>
                <w:lang w:val="fr-FR"/>
              </w:rPr>
              <w:t xml:space="preserve"> ans en matière d’élaboration de documents de politique </w:t>
            </w:r>
            <w:r w:rsidR="0040065A">
              <w:rPr>
                <w:lang w:val="fr-FR"/>
              </w:rPr>
              <w:t>et de programmes et/</w:t>
            </w:r>
            <w:r w:rsidRPr="00B53CA5">
              <w:rPr>
                <w:lang w:val="fr-FR"/>
              </w:rPr>
              <w:t xml:space="preserve">ou dans la mise en œuvre des politiques nationales et programmes d’appui à la jeunesse ; </w:t>
            </w:r>
          </w:p>
          <w:p w14:paraId="7F4FEA25" w14:textId="2AD852F1" w:rsidR="008737CE" w:rsidRPr="00B53CA5" w:rsidRDefault="004769BF">
            <w:pPr>
              <w:numPr>
                <w:ilvl w:val="0"/>
                <w:numId w:val="5"/>
              </w:numPr>
              <w:spacing w:after="0"/>
              <w:ind w:right="0" w:hanging="360"/>
              <w:jc w:val="left"/>
              <w:rPr>
                <w:lang w:val="fr-FR"/>
              </w:rPr>
            </w:pPr>
            <w:r w:rsidRPr="00B53CA5">
              <w:rPr>
                <w:lang w:val="fr-FR"/>
              </w:rPr>
              <w:t>Justifier d’une connaissance de base du cadre juridique,</w:t>
            </w:r>
            <w:r w:rsidR="0040065A">
              <w:rPr>
                <w:lang w:val="fr-FR"/>
              </w:rPr>
              <w:t xml:space="preserve"> institutionnel,</w:t>
            </w:r>
            <w:r w:rsidRPr="00B53CA5">
              <w:rPr>
                <w:lang w:val="fr-FR"/>
              </w:rPr>
              <w:t xml:space="preserve"> politique et économique de</w:t>
            </w:r>
            <w:r w:rsidR="0040065A">
              <w:rPr>
                <w:lang w:val="fr-FR"/>
              </w:rPr>
              <w:t>s pays d’Afrique sub-saharienne (et</w:t>
            </w:r>
            <w:r w:rsidRPr="00B53CA5">
              <w:rPr>
                <w:lang w:val="fr-FR"/>
              </w:rPr>
              <w:t xml:space="preserve"> la Guinée </w:t>
            </w:r>
            <w:r w:rsidR="0040065A">
              <w:rPr>
                <w:lang w:val="fr-FR"/>
              </w:rPr>
              <w:t>serait un plus) ;</w:t>
            </w:r>
          </w:p>
          <w:p w14:paraId="37D69A62" w14:textId="77777777" w:rsidR="008737CE" w:rsidRPr="00B53CA5" w:rsidRDefault="004769BF">
            <w:pPr>
              <w:numPr>
                <w:ilvl w:val="0"/>
                <w:numId w:val="5"/>
              </w:numPr>
              <w:spacing w:after="44"/>
              <w:ind w:right="0" w:hanging="360"/>
              <w:jc w:val="left"/>
              <w:rPr>
                <w:lang w:val="fr-FR"/>
              </w:rPr>
            </w:pPr>
            <w:r w:rsidRPr="00B53CA5">
              <w:rPr>
                <w:lang w:val="fr-FR"/>
              </w:rPr>
              <w:t xml:space="preserve">Justifier d’une expérience de travail pertinente en lien avec les programmes d’appui à la jeunesse et sur la contribution des jeunes au développement ; </w:t>
            </w:r>
          </w:p>
          <w:p w14:paraId="3EED6EB4" w14:textId="41BF6D16" w:rsidR="008737CE" w:rsidRPr="00B53CA5" w:rsidRDefault="004769BF">
            <w:pPr>
              <w:numPr>
                <w:ilvl w:val="0"/>
                <w:numId w:val="5"/>
              </w:numPr>
              <w:spacing w:after="0"/>
              <w:ind w:right="0" w:hanging="360"/>
              <w:jc w:val="left"/>
              <w:rPr>
                <w:lang w:val="fr-FR"/>
              </w:rPr>
            </w:pPr>
            <w:r w:rsidRPr="00B53CA5">
              <w:rPr>
                <w:lang w:val="fr-FR"/>
              </w:rPr>
              <w:t xml:space="preserve">Une expérience de travail avec </w:t>
            </w:r>
            <w:r w:rsidR="0040065A">
              <w:rPr>
                <w:lang w:val="fr-FR"/>
              </w:rPr>
              <w:t>des</w:t>
            </w:r>
            <w:r w:rsidRPr="00B53CA5">
              <w:rPr>
                <w:lang w:val="fr-FR"/>
              </w:rPr>
              <w:t xml:space="preserve"> Ministère</w:t>
            </w:r>
            <w:r w:rsidR="0040065A">
              <w:rPr>
                <w:lang w:val="fr-FR"/>
              </w:rPr>
              <w:t>s en charge</w:t>
            </w:r>
            <w:r w:rsidRPr="00B53CA5">
              <w:rPr>
                <w:lang w:val="fr-FR"/>
              </w:rPr>
              <w:t xml:space="preserve"> de la Jeunesse et </w:t>
            </w:r>
            <w:r w:rsidR="0040065A">
              <w:rPr>
                <w:lang w:val="fr-FR"/>
              </w:rPr>
              <w:t>les</w:t>
            </w:r>
            <w:r w:rsidRPr="00B53CA5">
              <w:rPr>
                <w:lang w:val="fr-FR"/>
              </w:rPr>
              <w:t xml:space="preserve"> départements sectoriels</w:t>
            </w:r>
            <w:r w:rsidR="0040065A">
              <w:rPr>
                <w:lang w:val="fr-FR"/>
              </w:rPr>
              <w:t> ;</w:t>
            </w:r>
          </w:p>
          <w:p w14:paraId="35BCC5B5" w14:textId="53AB9602" w:rsidR="008737CE" w:rsidRPr="00B53CA5" w:rsidRDefault="004769BF">
            <w:pPr>
              <w:numPr>
                <w:ilvl w:val="0"/>
                <w:numId w:val="5"/>
              </w:numPr>
              <w:spacing w:after="0"/>
              <w:ind w:right="0" w:hanging="360"/>
              <w:jc w:val="left"/>
              <w:rPr>
                <w:lang w:val="fr-FR"/>
              </w:rPr>
            </w:pPr>
            <w:r w:rsidRPr="00B53CA5">
              <w:rPr>
                <w:lang w:val="fr-FR"/>
              </w:rPr>
              <w:t xml:space="preserve">Avoir une connaissance de la mise en œuvre du suivi évaluation des politiques et programmes </w:t>
            </w:r>
            <w:r w:rsidR="0040065A">
              <w:rPr>
                <w:lang w:val="fr-FR"/>
              </w:rPr>
              <w:t>de développement en faveur des jeunes ;</w:t>
            </w:r>
          </w:p>
          <w:p w14:paraId="2B8E45A7" w14:textId="78CB4E6A" w:rsidR="0040065A" w:rsidRDefault="004769BF">
            <w:pPr>
              <w:numPr>
                <w:ilvl w:val="0"/>
                <w:numId w:val="5"/>
              </w:numPr>
              <w:spacing w:after="0" w:line="258" w:lineRule="auto"/>
              <w:ind w:right="0" w:hanging="360"/>
              <w:jc w:val="left"/>
              <w:rPr>
                <w:lang w:val="fr-FR"/>
              </w:rPr>
            </w:pPr>
            <w:r w:rsidRPr="00B53CA5">
              <w:rPr>
                <w:lang w:val="fr-FR"/>
              </w:rPr>
              <w:t>Avoir réalisé des travaux identiques dans un contexte similaire serait un atout</w:t>
            </w:r>
            <w:r w:rsidR="00FA3D14">
              <w:rPr>
                <w:lang w:val="fr-FR"/>
              </w:rPr>
              <w:t> ;</w:t>
            </w:r>
          </w:p>
          <w:p w14:paraId="25F99430" w14:textId="7DBAEBD6" w:rsidR="008737CE" w:rsidRPr="00B53CA5" w:rsidRDefault="004769BF">
            <w:pPr>
              <w:numPr>
                <w:ilvl w:val="0"/>
                <w:numId w:val="5"/>
              </w:numPr>
              <w:spacing w:after="0" w:line="258" w:lineRule="auto"/>
              <w:ind w:right="0" w:hanging="360"/>
              <w:jc w:val="left"/>
              <w:rPr>
                <w:lang w:val="fr-FR"/>
              </w:rPr>
            </w:pPr>
            <w:r w:rsidRPr="00B53CA5">
              <w:rPr>
                <w:lang w:val="fr-FR"/>
              </w:rPr>
              <w:t xml:space="preserve">Avoir d’excellentes capacités de communication orale et écrite en Français ; </w:t>
            </w:r>
          </w:p>
          <w:p w14:paraId="72B6AA56" w14:textId="77777777" w:rsidR="008737CE" w:rsidRPr="00B53CA5" w:rsidRDefault="004769BF">
            <w:pPr>
              <w:numPr>
                <w:ilvl w:val="0"/>
                <w:numId w:val="5"/>
              </w:numPr>
              <w:spacing w:after="0"/>
              <w:ind w:right="0" w:hanging="360"/>
              <w:jc w:val="left"/>
              <w:rPr>
                <w:lang w:val="fr-FR"/>
              </w:rPr>
            </w:pPr>
            <w:r w:rsidRPr="00B53CA5">
              <w:rPr>
                <w:lang w:val="fr-FR"/>
              </w:rPr>
              <w:t xml:space="preserve">Avoir une bonne connaissance de l’outil informatique. </w:t>
            </w:r>
          </w:p>
        </w:tc>
      </w:tr>
    </w:tbl>
    <w:p w14:paraId="09C3CA9A" w14:textId="77777777" w:rsidR="008737CE" w:rsidRPr="00B53CA5" w:rsidRDefault="004769BF">
      <w:pPr>
        <w:spacing w:after="15"/>
        <w:ind w:left="0" w:right="0" w:firstLine="0"/>
        <w:rPr>
          <w:lang w:val="fr-FR"/>
        </w:rPr>
      </w:pPr>
      <w:r w:rsidRPr="00B53CA5">
        <w:rPr>
          <w:sz w:val="12"/>
          <w:lang w:val="fr-FR"/>
        </w:rPr>
        <w:t xml:space="preserve"> </w:t>
      </w:r>
    </w:p>
    <w:tbl>
      <w:tblPr>
        <w:tblStyle w:val="TableGrid"/>
        <w:tblW w:w="10182" w:type="dxa"/>
        <w:tblInd w:w="-431" w:type="dxa"/>
        <w:tblCellMar>
          <w:top w:w="47" w:type="dxa"/>
        </w:tblCellMar>
        <w:tblLook w:val="04A0" w:firstRow="1" w:lastRow="0" w:firstColumn="1" w:lastColumn="0" w:noHBand="0" w:noVBand="1"/>
      </w:tblPr>
      <w:tblGrid>
        <w:gridCol w:w="568"/>
        <w:gridCol w:w="692"/>
        <w:gridCol w:w="8158"/>
        <w:gridCol w:w="639"/>
        <w:gridCol w:w="125"/>
      </w:tblGrid>
      <w:tr w:rsidR="008737CE" w14:paraId="33E0C1A4" w14:textId="77777777" w:rsidTr="005B58AE">
        <w:trPr>
          <w:trHeight w:val="329"/>
        </w:trPr>
        <w:tc>
          <w:tcPr>
            <w:tcW w:w="10182" w:type="dxa"/>
            <w:gridSpan w:val="5"/>
            <w:tcBorders>
              <w:top w:val="single" w:sz="4" w:space="0" w:color="000080"/>
              <w:left w:val="single" w:sz="4" w:space="0" w:color="000080"/>
              <w:bottom w:val="single" w:sz="4" w:space="0" w:color="000080"/>
              <w:right w:val="nil"/>
            </w:tcBorders>
            <w:shd w:val="clear" w:color="auto" w:fill="000080"/>
          </w:tcPr>
          <w:p w14:paraId="37402BE5" w14:textId="77777777" w:rsidR="008737CE" w:rsidRDefault="004769BF">
            <w:pPr>
              <w:spacing w:after="0"/>
              <w:ind w:left="395" w:right="0" w:firstLine="0"/>
              <w:jc w:val="left"/>
            </w:pPr>
            <w:r>
              <w:rPr>
                <w:color w:val="FFFFFF"/>
              </w:rPr>
              <w:t>IX.</w:t>
            </w:r>
            <w:r>
              <w:rPr>
                <w:rFonts w:ascii="Arial" w:eastAsia="Arial" w:hAnsi="Arial" w:cs="Arial"/>
                <w:b/>
                <w:color w:val="FFFFFF"/>
              </w:rPr>
              <w:t xml:space="preserve"> </w:t>
            </w:r>
            <w:r>
              <w:rPr>
                <w:color w:val="FFFFFF"/>
              </w:rPr>
              <w:t xml:space="preserve">Les critères d’évaluation </w:t>
            </w:r>
          </w:p>
        </w:tc>
      </w:tr>
      <w:tr w:rsidR="008737CE" w14:paraId="47044569" w14:textId="77777777" w:rsidTr="005B58AE">
        <w:trPr>
          <w:trHeight w:val="2702"/>
        </w:trPr>
        <w:tc>
          <w:tcPr>
            <w:tcW w:w="10182" w:type="dxa"/>
            <w:gridSpan w:val="5"/>
            <w:tcBorders>
              <w:top w:val="single" w:sz="4" w:space="0" w:color="000080"/>
              <w:left w:val="single" w:sz="4" w:space="0" w:color="000080"/>
              <w:bottom w:val="single" w:sz="8" w:space="0" w:color="000000"/>
              <w:right w:val="single" w:sz="4" w:space="0" w:color="000080"/>
            </w:tcBorders>
          </w:tcPr>
          <w:p w14:paraId="50717510" w14:textId="0B37388A" w:rsidR="008737CE" w:rsidRPr="00B53CA5" w:rsidRDefault="004769BF">
            <w:pPr>
              <w:spacing w:after="1" w:line="239" w:lineRule="auto"/>
              <w:ind w:left="107" w:right="0" w:firstLine="0"/>
              <w:jc w:val="left"/>
              <w:rPr>
                <w:lang w:val="fr-FR"/>
              </w:rPr>
            </w:pPr>
            <w:r w:rsidRPr="00B53CA5">
              <w:rPr>
                <w:lang w:val="fr-FR"/>
              </w:rPr>
              <w:t xml:space="preserve">L’évaluation des offres se déroule en deux grandes étapes :  L’évaluation des propositions techniques, </w:t>
            </w:r>
            <w:r w:rsidR="00FA3D14">
              <w:rPr>
                <w:lang w:val="fr-FR"/>
              </w:rPr>
              <w:t>(</w:t>
            </w:r>
            <w:r w:rsidRPr="00B53CA5">
              <w:rPr>
                <w:lang w:val="fr-FR"/>
              </w:rPr>
              <w:t>étape 1</w:t>
            </w:r>
            <w:r w:rsidR="00FA3D14">
              <w:rPr>
                <w:lang w:val="fr-FR"/>
              </w:rPr>
              <w:t>)</w:t>
            </w:r>
            <w:r w:rsidRPr="00B53CA5">
              <w:rPr>
                <w:lang w:val="fr-FR"/>
              </w:rPr>
              <w:t>, est achevée avant l’ouverture et la comparaison des propositions financières (</w:t>
            </w:r>
            <w:r w:rsidR="00FA3D14">
              <w:rPr>
                <w:lang w:val="fr-FR"/>
              </w:rPr>
              <w:t>é</w:t>
            </w:r>
            <w:r w:rsidRPr="00B53CA5">
              <w:rPr>
                <w:lang w:val="fr-FR"/>
              </w:rPr>
              <w:t xml:space="preserve">tape 2). </w:t>
            </w:r>
          </w:p>
          <w:p w14:paraId="2BA4C167" w14:textId="77777777" w:rsidR="008737CE" w:rsidRPr="00B53CA5" w:rsidRDefault="004769BF">
            <w:pPr>
              <w:spacing w:after="11"/>
              <w:ind w:left="107" w:right="0" w:firstLine="0"/>
              <w:jc w:val="left"/>
              <w:rPr>
                <w:lang w:val="fr-FR"/>
              </w:rPr>
            </w:pPr>
            <w:r w:rsidRPr="00B53CA5">
              <w:rPr>
                <w:lang w:val="fr-FR"/>
              </w:rPr>
              <w:t xml:space="preserve"> </w:t>
            </w:r>
          </w:p>
          <w:p w14:paraId="6A9C570B" w14:textId="77777777" w:rsidR="008737CE" w:rsidRDefault="004769BF">
            <w:pPr>
              <w:numPr>
                <w:ilvl w:val="0"/>
                <w:numId w:val="6"/>
              </w:numPr>
              <w:spacing w:after="0"/>
              <w:ind w:right="0" w:hanging="360"/>
              <w:jc w:val="left"/>
            </w:pPr>
            <w:r>
              <w:t xml:space="preserve">Evaluation Technique </w:t>
            </w:r>
          </w:p>
          <w:p w14:paraId="0AC43DE8" w14:textId="0DEE79C2" w:rsidR="008737CE" w:rsidRPr="00B53CA5" w:rsidRDefault="004769BF">
            <w:pPr>
              <w:spacing w:after="0" w:line="239" w:lineRule="auto"/>
              <w:ind w:left="107" w:right="0" w:firstLine="0"/>
              <w:rPr>
                <w:lang w:val="fr-FR"/>
              </w:rPr>
            </w:pPr>
            <w:r w:rsidRPr="00B53CA5">
              <w:rPr>
                <w:lang w:val="fr-FR"/>
              </w:rPr>
              <w:t>La proposition technique</w:t>
            </w:r>
            <w:r w:rsidR="00FA3D14">
              <w:rPr>
                <w:lang w:val="fr-FR"/>
              </w:rPr>
              <w:t xml:space="preserve"> (</w:t>
            </w:r>
            <w:r w:rsidRPr="00B53CA5">
              <w:rPr>
                <w:lang w:val="fr-FR"/>
              </w:rPr>
              <w:t>étape 1</w:t>
            </w:r>
            <w:r w:rsidR="00FA3D14">
              <w:rPr>
                <w:lang w:val="fr-FR"/>
              </w:rPr>
              <w:t>)</w:t>
            </w:r>
            <w:r w:rsidRPr="00B53CA5">
              <w:rPr>
                <w:lang w:val="fr-FR"/>
              </w:rPr>
              <w:t xml:space="preserve"> devra comprendre au moins le CV du consultant, le plan de travail et de la méthodologie  </w:t>
            </w:r>
          </w:p>
          <w:p w14:paraId="258798E4" w14:textId="77777777" w:rsidR="008737CE" w:rsidRPr="00B53CA5" w:rsidRDefault="004769BF">
            <w:pPr>
              <w:spacing w:after="8"/>
              <w:ind w:left="107" w:right="0" w:firstLine="0"/>
              <w:jc w:val="left"/>
              <w:rPr>
                <w:lang w:val="fr-FR"/>
              </w:rPr>
            </w:pPr>
            <w:r w:rsidRPr="00B53CA5">
              <w:rPr>
                <w:lang w:val="fr-FR"/>
              </w:rPr>
              <w:t xml:space="preserve"> </w:t>
            </w:r>
          </w:p>
          <w:p w14:paraId="5E0131BA" w14:textId="33BBF03A" w:rsidR="008737CE" w:rsidRDefault="004769BF">
            <w:pPr>
              <w:numPr>
                <w:ilvl w:val="0"/>
                <w:numId w:val="6"/>
              </w:numPr>
              <w:spacing w:after="0"/>
              <w:ind w:right="0" w:hanging="360"/>
              <w:jc w:val="left"/>
            </w:pPr>
            <w:r>
              <w:t xml:space="preserve">Analyse financière </w:t>
            </w:r>
            <w:r w:rsidR="00FA3D14">
              <w:t>(étape 2)</w:t>
            </w:r>
          </w:p>
          <w:p w14:paraId="6EDD90AC" w14:textId="77777777" w:rsidR="008737CE" w:rsidRDefault="004769BF">
            <w:pPr>
              <w:spacing w:after="0"/>
              <w:ind w:left="107" w:right="0" w:firstLine="0"/>
              <w:jc w:val="left"/>
            </w:pPr>
            <w:r>
              <w:t xml:space="preserve"> </w:t>
            </w:r>
          </w:p>
          <w:p w14:paraId="6FB19296" w14:textId="77777777" w:rsidR="008737CE" w:rsidRDefault="004769BF">
            <w:pPr>
              <w:spacing w:after="0"/>
              <w:ind w:left="107" w:right="0" w:firstLine="0"/>
              <w:jc w:val="left"/>
            </w:pPr>
            <w:r>
              <w:t xml:space="preserve">Analyse des dossiers techniques :   </w:t>
            </w:r>
          </w:p>
          <w:p w14:paraId="45040A19" w14:textId="4BD9702F" w:rsidR="005B58AE" w:rsidRDefault="005B58AE">
            <w:pPr>
              <w:spacing w:after="0"/>
              <w:ind w:left="107" w:right="0" w:firstLine="0"/>
              <w:jc w:val="left"/>
            </w:pPr>
          </w:p>
        </w:tc>
      </w:tr>
      <w:tr w:rsidR="008737CE" w14:paraId="07147ECA" w14:textId="77777777" w:rsidTr="005B58AE">
        <w:trPr>
          <w:trHeight w:val="316"/>
        </w:trPr>
        <w:tc>
          <w:tcPr>
            <w:tcW w:w="568" w:type="dxa"/>
            <w:vMerge w:val="restart"/>
            <w:tcBorders>
              <w:top w:val="nil"/>
              <w:left w:val="single" w:sz="4" w:space="0" w:color="000080"/>
              <w:bottom w:val="single" w:sz="4" w:space="0" w:color="000080"/>
              <w:right w:val="single" w:sz="6" w:space="0" w:color="000000"/>
            </w:tcBorders>
          </w:tcPr>
          <w:p w14:paraId="09E7AF4E" w14:textId="77777777" w:rsidR="008737CE" w:rsidRDefault="008737CE">
            <w:pPr>
              <w:spacing w:after="160"/>
              <w:ind w:left="0" w:right="0" w:firstLine="0"/>
              <w:jc w:val="left"/>
            </w:pPr>
          </w:p>
        </w:tc>
        <w:tc>
          <w:tcPr>
            <w:tcW w:w="692" w:type="dxa"/>
            <w:tcBorders>
              <w:top w:val="single" w:sz="8" w:space="0" w:color="000000"/>
              <w:left w:val="single" w:sz="8" w:space="0" w:color="000000"/>
              <w:bottom w:val="single" w:sz="8" w:space="0" w:color="000000"/>
              <w:right w:val="single" w:sz="8" w:space="0" w:color="000000"/>
            </w:tcBorders>
          </w:tcPr>
          <w:p w14:paraId="183CF4DE" w14:textId="77777777" w:rsidR="008737CE" w:rsidRDefault="004769BF">
            <w:pPr>
              <w:spacing w:after="0"/>
              <w:ind w:left="107" w:right="0" w:firstLine="0"/>
              <w:jc w:val="left"/>
            </w:pPr>
            <w:r>
              <w:t xml:space="preserve">N° </w:t>
            </w:r>
          </w:p>
        </w:tc>
        <w:tc>
          <w:tcPr>
            <w:tcW w:w="8158" w:type="dxa"/>
            <w:tcBorders>
              <w:top w:val="single" w:sz="8" w:space="0" w:color="000000"/>
              <w:left w:val="single" w:sz="8" w:space="0" w:color="000000"/>
              <w:bottom w:val="single" w:sz="8" w:space="0" w:color="000000"/>
              <w:right w:val="single" w:sz="8" w:space="0" w:color="000000"/>
            </w:tcBorders>
          </w:tcPr>
          <w:p w14:paraId="758A9E98" w14:textId="77777777" w:rsidR="008737CE" w:rsidRDefault="004769BF">
            <w:pPr>
              <w:spacing w:after="0"/>
              <w:ind w:left="79" w:right="0" w:firstLine="0"/>
              <w:jc w:val="left"/>
            </w:pPr>
            <w:r>
              <w:t xml:space="preserve">Critères </w:t>
            </w:r>
          </w:p>
        </w:tc>
        <w:tc>
          <w:tcPr>
            <w:tcW w:w="639" w:type="dxa"/>
            <w:tcBorders>
              <w:top w:val="single" w:sz="8" w:space="0" w:color="000000"/>
              <w:left w:val="single" w:sz="8" w:space="0" w:color="000000"/>
              <w:bottom w:val="single" w:sz="8" w:space="0" w:color="000000"/>
              <w:right w:val="single" w:sz="8" w:space="0" w:color="000000"/>
            </w:tcBorders>
          </w:tcPr>
          <w:p w14:paraId="61F32507" w14:textId="77777777" w:rsidR="008737CE" w:rsidRDefault="004769BF">
            <w:pPr>
              <w:spacing w:after="0"/>
              <w:ind w:left="27" w:right="0" w:firstLine="0"/>
            </w:pPr>
            <w:r>
              <w:t xml:space="preserve">Scores </w:t>
            </w:r>
          </w:p>
        </w:tc>
        <w:tc>
          <w:tcPr>
            <w:tcW w:w="125" w:type="dxa"/>
            <w:vMerge w:val="restart"/>
            <w:tcBorders>
              <w:top w:val="nil"/>
              <w:left w:val="single" w:sz="6" w:space="0" w:color="000000"/>
              <w:bottom w:val="single" w:sz="4" w:space="0" w:color="000080"/>
              <w:right w:val="single" w:sz="4" w:space="0" w:color="000080"/>
            </w:tcBorders>
          </w:tcPr>
          <w:p w14:paraId="47E06877" w14:textId="77777777" w:rsidR="008737CE" w:rsidRDefault="008737CE">
            <w:pPr>
              <w:spacing w:after="160"/>
              <w:ind w:left="0" w:right="0" w:firstLine="0"/>
              <w:jc w:val="left"/>
            </w:pPr>
          </w:p>
        </w:tc>
      </w:tr>
      <w:tr w:rsidR="008737CE" w14:paraId="374498EA" w14:textId="77777777" w:rsidTr="005B58AE">
        <w:trPr>
          <w:trHeight w:val="311"/>
        </w:trPr>
        <w:tc>
          <w:tcPr>
            <w:tcW w:w="568" w:type="dxa"/>
            <w:vMerge/>
            <w:tcBorders>
              <w:top w:val="nil"/>
              <w:left w:val="single" w:sz="4" w:space="0" w:color="000080"/>
              <w:bottom w:val="nil"/>
              <w:right w:val="single" w:sz="6" w:space="0" w:color="000000"/>
            </w:tcBorders>
          </w:tcPr>
          <w:p w14:paraId="3850D1E4" w14:textId="77777777" w:rsidR="008737CE" w:rsidRDefault="008737CE">
            <w:pPr>
              <w:spacing w:after="160"/>
              <w:ind w:left="0" w:right="0" w:firstLine="0"/>
              <w:jc w:val="left"/>
            </w:pPr>
          </w:p>
        </w:tc>
        <w:tc>
          <w:tcPr>
            <w:tcW w:w="692" w:type="dxa"/>
            <w:tcBorders>
              <w:top w:val="single" w:sz="8" w:space="0" w:color="000000"/>
              <w:left w:val="single" w:sz="8" w:space="0" w:color="000000"/>
              <w:bottom w:val="single" w:sz="8" w:space="0" w:color="000000"/>
              <w:right w:val="single" w:sz="8" w:space="0" w:color="000000"/>
            </w:tcBorders>
            <w:shd w:val="clear" w:color="auto" w:fill="D9D9D9"/>
          </w:tcPr>
          <w:p w14:paraId="0F90EEC0" w14:textId="77777777" w:rsidR="008737CE" w:rsidRDefault="004769BF">
            <w:pPr>
              <w:spacing w:after="0"/>
              <w:ind w:left="107" w:right="0" w:firstLine="0"/>
              <w:jc w:val="left"/>
            </w:pPr>
            <w:r>
              <w:t xml:space="preserve">1. </w:t>
            </w:r>
          </w:p>
        </w:tc>
        <w:tc>
          <w:tcPr>
            <w:tcW w:w="8158" w:type="dxa"/>
            <w:tcBorders>
              <w:top w:val="single" w:sz="8" w:space="0" w:color="000000"/>
              <w:left w:val="single" w:sz="8" w:space="0" w:color="000000"/>
              <w:bottom w:val="single" w:sz="8" w:space="0" w:color="000000"/>
              <w:right w:val="single" w:sz="8" w:space="0" w:color="000000"/>
            </w:tcBorders>
            <w:shd w:val="clear" w:color="auto" w:fill="D9D9D9"/>
          </w:tcPr>
          <w:p w14:paraId="4623E3D6" w14:textId="77777777" w:rsidR="008737CE" w:rsidRPr="00B53CA5" w:rsidRDefault="004769BF">
            <w:pPr>
              <w:spacing w:after="0"/>
              <w:ind w:left="79" w:right="0" w:firstLine="0"/>
              <w:jc w:val="left"/>
              <w:rPr>
                <w:lang w:val="fr-FR"/>
              </w:rPr>
            </w:pPr>
            <w:r w:rsidRPr="00B53CA5">
              <w:rPr>
                <w:lang w:val="fr-FR"/>
              </w:rPr>
              <w:t xml:space="preserve">Expérience pertinente du consultant pour la réalisation de la mission </w:t>
            </w:r>
          </w:p>
        </w:tc>
        <w:tc>
          <w:tcPr>
            <w:tcW w:w="639" w:type="dxa"/>
            <w:tcBorders>
              <w:top w:val="single" w:sz="8" w:space="0" w:color="000000"/>
              <w:left w:val="single" w:sz="8" w:space="0" w:color="000000"/>
              <w:bottom w:val="single" w:sz="8" w:space="0" w:color="000000"/>
              <w:right w:val="single" w:sz="8" w:space="0" w:color="000000"/>
            </w:tcBorders>
            <w:shd w:val="clear" w:color="auto" w:fill="D9D9D9"/>
          </w:tcPr>
          <w:p w14:paraId="69E86966" w14:textId="77777777" w:rsidR="008737CE" w:rsidRDefault="004769BF">
            <w:pPr>
              <w:spacing w:after="0"/>
              <w:ind w:left="159" w:right="0" w:firstLine="0"/>
              <w:jc w:val="left"/>
            </w:pPr>
            <w:r>
              <w:t xml:space="preserve">65 </w:t>
            </w:r>
          </w:p>
        </w:tc>
        <w:tc>
          <w:tcPr>
            <w:tcW w:w="0" w:type="auto"/>
            <w:vMerge/>
            <w:tcBorders>
              <w:top w:val="nil"/>
              <w:left w:val="single" w:sz="6" w:space="0" w:color="000000"/>
              <w:bottom w:val="nil"/>
              <w:right w:val="single" w:sz="4" w:space="0" w:color="000080"/>
            </w:tcBorders>
          </w:tcPr>
          <w:p w14:paraId="14205409" w14:textId="77777777" w:rsidR="008737CE" w:rsidRDefault="008737CE">
            <w:pPr>
              <w:spacing w:after="160"/>
              <w:ind w:left="0" w:right="0" w:firstLine="0"/>
              <w:jc w:val="left"/>
            </w:pPr>
          </w:p>
        </w:tc>
      </w:tr>
      <w:tr w:rsidR="008737CE" w14:paraId="16312BBD" w14:textId="77777777" w:rsidTr="005B58AE">
        <w:trPr>
          <w:trHeight w:val="554"/>
        </w:trPr>
        <w:tc>
          <w:tcPr>
            <w:tcW w:w="568" w:type="dxa"/>
            <w:vMerge/>
            <w:tcBorders>
              <w:top w:val="nil"/>
              <w:left w:val="single" w:sz="4" w:space="0" w:color="000080"/>
              <w:bottom w:val="nil"/>
              <w:right w:val="single" w:sz="6" w:space="0" w:color="000000"/>
            </w:tcBorders>
          </w:tcPr>
          <w:p w14:paraId="5DAB12F6" w14:textId="77777777" w:rsidR="008737CE" w:rsidRDefault="008737CE">
            <w:pPr>
              <w:spacing w:after="160"/>
              <w:ind w:left="0" w:right="0" w:firstLine="0"/>
              <w:jc w:val="left"/>
            </w:pPr>
          </w:p>
        </w:tc>
        <w:tc>
          <w:tcPr>
            <w:tcW w:w="692" w:type="dxa"/>
            <w:tcBorders>
              <w:top w:val="single" w:sz="8" w:space="0" w:color="000000"/>
              <w:left w:val="single" w:sz="8" w:space="0" w:color="000000"/>
              <w:bottom w:val="single" w:sz="4" w:space="0" w:color="000000"/>
              <w:right w:val="single" w:sz="8" w:space="0" w:color="000000"/>
            </w:tcBorders>
            <w:vAlign w:val="center"/>
          </w:tcPr>
          <w:p w14:paraId="07034BED" w14:textId="77777777" w:rsidR="008737CE" w:rsidRDefault="004769BF">
            <w:pPr>
              <w:spacing w:after="0"/>
              <w:ind w:left="107" w:right="0" w:firstLine="0"/>
              <w:jc w:val="left"/>
            </w:pPr>
            <w:r>
              <w:t xml:space="preserve">1.1 </w:t>
            </w:r>
          </w:p>
        </w:tc>
        <w:tc>
          <w:tcPr>
            <w:tcW w:w="8158" w:type="dxa"/>
            <w:tcBorders>
              <w:top w:val="single" w:sz="8" w:space="0" w:color="000000"/>
              <w:left w:val="single" w:sz="8" w:space="0" w:color="000000"/>
              <w:bottom w:val="single" w:sz="4" w:space="0" w:color="000000"/>
              <w:right w:val="single" w:sz="8" w:space="0" w:color="000000"/>
            </w:tcBorders>
          </w:tcPr>
          <w:p w14:paraId="24846D6F" w14:textId="1FB21FAF" w:rsidR="008737CE" w:rsidRPr="00B53CA5" w:rsidRDefault="004769BF">
            <w:pPr>
              <w:spacing w:after="0"/>
              <w:ind w:left="0" w:right="0" w:firstLine="0"/>
              <w:jc w:val="left"/>
              <w:rPr>
                <w:lang w:val="fr-FR"/>
              </w:rPr>
            </w:pPr>
            <w:r w:rsidRPr="00B53CA5">
              <w:rPr>
                <w:lang w:val="fr-FR"/>
              </w:rPr>
              <w:t xml:space="preserve">Diplôme d’Etude Supérieur (BAC+4) en </w:t>
            </w:r>
            <w:r w:rsidR="00FA3D14">
              <w:rPr>
                <w:lang w:val="fr-FR"/>
              </w:rPr>
              <w:t>é</w:t>
            </w:r>
            <w:r w:rsidRPr="00B53CA5">
              <w:rPr>
                <w:lang w:val="fr-FR"/>
              </w:rPr>
              <w:t xml:space="preserve">conomie, sciences sociales ou domaine similaire </w:t>
            </w:r>
          </w:p>
        </w:tc>
        <w:tc>
          <w:tcPr>
            <w:tcW w:w="639" w:type="dxa"/>
            <w:tcBorders>
              <w:top w:val="single" w:sz="8" w:space="0" w:color="000000"/>
              <w:left w:val="single" w:sz="8" w:space="0" w:color="000000"/>
              <w:bottom w:val="single" w:sz="4" w:space="0" w:color="000000"/>
              <w:right w:val="single" w:sz="8" w:space="0" w:color="000000"/>
            </w:tcBorders>
            <w:vAlign w:val="center"/>
          </w:tcPr>
          <w:p w14:paraId="076706DB" w14:textId="77777777" w:rsidR="008737CE" w:rsidRDefault="004769BF">
            <w:pPr>
              <w:spacing w:after="0"/>
              <w:ind w:left="0" w:right="93" w:firstLine="0"/>
              <w:jc w:val="center"/>
            </w:pPr>
            <w:r>
              <w:t xml:space="preserve">5 </w:t>
            </w:r>
          </w:p>
        </w:tc>
        <w:tc>
          <w:tcPr>
            <w:tcW w:w="0" w:type="auto"/>
            <w:vMerge/>
            <w:tcBorders>
              <w:top w:val="nil"/>
              <w:left w:val="single" w:sz="6" w:space="0" w:color="000000"/>
              <w:bottom w:val="nil"/>
              <w:right w:val="single" w:sz="4" w:space="0" w:color="000080"/>
            </w:tcBorders>
          </w:tcPr>
          <w:p w14:paraId="167EB6A2" w14:textId="77777777" w:rsidR="008737CE" w:rsidRDefault="008737CE">
            <w:pPr>
              <w:spacing w:after="160"/>
              <w:ind w:left="0" w:right="0" w:firstLine="0"/>
              <w:jc w:val="left"/>
            </w:pPr>
          </w:p>
        </w:tc>
      </w:tr>
      <w:tr w:rsidR="008737CE" w14:paraId="540AD032" w14:textId="77777777" w:rsidTr="005B58AE">
        <w:trPr>
          <w:trHeight w:val="303"/>
        </w:trPr>
        <w:tc>
          <w:tcPr>
            <w:tcW w:w="568" w:type="dxa"/>
            <w:vMerge/>
            <w:tcBorders>
              <w:top w:val="nil"/>
              <w:left w:val="single" w:sz="4" w:space="0" w:color="000080"/>
              <w:bottom w:val="nil"/>
              <w:right w:val="single" w:sz="6" w:space="0" w:color="000000"/>
            </w:tcBorders>
          </w:tcPr>
          <w:p w14:paraId="77679EB0" w14:textId="77777777" w:rsidR="008737CE" w:rsidRDefault="008737CE">
            <w:pPr>
              <w:spacing w:after="160"/>
              <w:ind w:left="0" w:right="0" w:firstLine="0"/>
              <w:jc w:val="left"/>
            </w:pPr>
          </w:p>
        </w:tc>
        <w:tc>
          <w:tcPr>
            <w:tcW w:w="692" w:type="dxa"/>
            <w:tcBorders>
              <w:top w:val="single" w:sz="4" w:space="0" w:color="000000"/>
              <w:left w:val="single" w:sz="8" w:space="0" w:color="000000"/>
              <w:bottom w:val="single" w:sz="4" w:space="0" w:color="000000"/>
              <w:right w:val="single" w:sz="8" w:space="0" w:color="000000"/>
            </w:tcBorders>
          </w:tcPr>
          <w:p w14:paraId="5D3FCC82" w14:textId="77777777" w:rsidR="008737CE" w:rsidRDefault="004769BF">
            <w:pPr>
              <w:spacing w:after="0"/>
              <w:ind w:left="107" w:right="0" w:firstLine="0"/>
              <w:jc w:val="left"/>
            </w:pPr>
            <w:r>
              <w:t xml:space="preserve">1.2 </w:t>
            </w:r>
          </w:p>
        </w:tc>
        <w:tc>
          <w:tcPr>
            <w:tcW w:w="8158" w:type="dxa"/>
            <w:tcBorders>
              <w:top w:val="single" w:sz="4" w:space="0" w:color="000000"/>
              <w:left w:val="single" w:sz="8" w:space="0" w:color="000000"/>
              <w:bottom w:val="single" w:sz="4" w:space="0" w:color="000000"/>
              <w:right w:val="single" w:sz="8" w:space="0" w:color="000000"/>
            </w:tcBorders>
          </w:tcPr>
          <w:p w14:paraId="739579C1" w14:textId="47DBADC1" w:rsidR="008737CE" w:rsidRPr="00B53CA5" w:rsidRDefault="004769BF">
            <w:pPr>
              <w:spacing w:after="0"/>
              <w:ind w:left="0" w:right="0" w:firstLine="0"/>
              <w:jc w:val="left"/>
              <w:rPr>
                <w:lang w:val="fr-FR"/>
              </w:rPr>
            </w:pPr>
            <w:r w:rsidRPr="00B53CA5">
              <w:rPr>
                <w:sz w:val="24"/>
                <w:lang w:val="fr-FR"/>
              </w:rPr>
              <w:t xml:space="preserve">Expériences confirmées </w:t>
            </w:r>
            <w:r w:rsidRPr="00B53CA5">
              <w:rPr>
                <w:lang w:val="fr-FR"/>
              </w:rPr>
              <w:t>de l’élaboration et mise en œuvre des politiques</w:t>
            </w:r>
            <w:r w:rsidR="00FA3D14">
              <w:rPr>
                <w:lang w:val="fr-FR"/>
              </w:rPr>
              <w:t xml:space="preserve">, stratégies et programmes </w:t>
            </w:r>
            <w:r w:rsidRPr="00B53CA5">
              <w:rPr>
                <w:lang w:val="fr-FR"/>
              </w:rPr>
              <w:t>sectoriels</w:t>
            </w:r>
            <w:r w:rsidR="00FA3D14">
              <w:rPr>
                <w:lang w:val="fr-FR"/>
              </w:rPr>
              <w:t xml:space="preserve"> et en faveur des jeunes</w:t>
            </w:r>
          </w:p>
        </w:tc>
        <w:tc>
          <w:tcPr>
            <w:tcW w:w="639" w:type="dxa"/>
            <w:tcBorders>
              <w:top w:val="single" w:sz="4" w:space="0" w:color="000000"/>
              <w:left w:val="single" w:sz="8" w:space="0" w:color="000000"/>
              <w:bottom w:val="single" w:sz="4" w:space="0" w:color="000000"/>
              <w:right w:val="single" w:sz="8" w:space="0" w:color="000000"/>
            </w:tcBorders>
          </w:tcPr>
          <w:p w14:paraId="486CDBD8" w14:textId="77777777" w:rsidR="008737CE" w:rsidRDefault="004769BF">
            <w:pPr>
              <w:spacing w:after="0"/>
              <w:ind w:left="159" w:right="0" w:firstLine="0"/>
              <w:jc w:val="left"/>
            </w:pPr>
            <w:r>
              <w:t xml:space="preserve">25 </w:t>
            </w:r>
          </w:p>
        </w:tc>
        <w:tc>
          <w:tcPr>
            <w:tcW w:w="0" w:type="auto"/>
            <w:vMerge/>
            <w:tcBorders>
              <w:top w:val="nil"/>
              <w:left w:val="single" w:sz="6" w:space="0" w:color="000000"/>
              <w:bottom w:val="nil"/>
              <w:right w:val="single" w:sz="4" w:space="0" w:color="000080"/>
            </w:tcBorders>
          </w:tcPr>
          <w:p w14:paraId="133ADBB1" w14:textId="77777777" w:rsidR="008737CE" w:rsidRDefault="008737CE">
            <w:pPr>
              <w:spacing w:after="160"/>
              <w:ind w:left="0" w:right="0" w:firstLine="0"/>
              <w:jc w:val="left"/>
            </w:pPr>
          </w:p>
        </w:tc>
      </w:tr>
      <w:tr w:rsidR="008737CE" w14:paraId="207162B7" w14:textId="77777777" w:rsidTr="005B58AE">
        <w:trPr>
          <w:trHeight w:val="302"/>
        </w:trPr>
        <w:tc>
          <w:tcPr>
            <w:tcW w:w="568" w:type="dxa"/>
            <w:vMerge/>
            <w:tcBorders>
              <w:top w:val="nil"/>
              <w:left w:val="single" w:sz="4" w:space="0" w:color="000080"/>
              <w:bottom w:val="single" w:sz="4" w:space="0" w:color="000080"/>
              <w:right w:val="single" w:sz="6" w:space="0" w:color="000000"/>
            </w:tcBorders>
          </w:tcPr>
          <w:p w14:paraId="3DE1DF29" w14:textId="77777777" w:rsidR="008737CE" w:rsidRDefault="008737CE">
            <w:pPr>
              <w:spacing w:after="160"/>
              <w:ind w:left="0" w:right="0" w:firstLine="0"/>
              <w:jc w:val="left"/>
            </w:pPr>
          </w:p>
        </w:tc>
        <w:tc>
          <w:tcPr>
            <w:tcW w:w="692" w:type="dxa"/>
            <w:tcBorders>
              <w:top w:val="single" w:sz="4" w:space="0" w:color="000000"/>
              <w:left w:val="single" w:sz="4" w:space="0" w:color="000000"/>
              <w:bottom w:val="single" w:sz="4" w:space="0" w:color="000080"/>
              <w:right w:val="single" w:sz="4" w:space="0" w:color="000000"/>
            </w:tcBorders>
          </w:tcPr>
          <w:p w14:paraId="1D3B0F4C" w14:textId="77777777" w:rsidR="008737CE" w:rsidRDefault="004769BF">
            <w:pPr>
              <w:spacing w:after="0"/>
              <w:ind w:left="102" w:right="0" w:firstLine="0"/>
              <w:jc w:val="left"/>
            </w:pPr>
            <w:r>
              <w:t xml:space="preserve">1.3 </w:t>
            </w:r>
          </w:p>
        </w:tc>
        <w:tc>
          <w:tcPr>
            <w:tcW w:w="8158" w:type="dxa"/>
            <w:tcBorders>
              <w:top w:val="single" w:sz="4" w:space="0" w:color="000000"/>
              <w:left w:val="single" w:sz="4" w:space="0" w:color="000000"/>
              <w:bottom w:val="single" w:sz="4" w:space="0" w:color="000080"/>
              <w:right w:val="single" w:sz="4" w:space="0" w:color="000000"/>
            </w:tcBorders>
          </w:tcPr>
          <w:p w14:paraId="7DC6A38F" w14:textId="77777777" w:rsidR="008737CE" w:rsidRPr="00B53CA5" w:rsidRDefault="004769BF">
            <w:pPr>
              <w:spacing w:after="0"/>
              <w:ind w:left="5" w:right="0" w:firstLine="0"/>
              <w:rPr>
                <w:lang w:val="fr-FR"/>
              </w:rPr>
            </w:pPr>
            <w:r w:rsidRPr="00B53CA5">
              <w:rPr>
                <w:lang w:val="fr-FR"/>
              </w:rPr>
              <w:t xml:space="preserve">Connaissance du secteur de la jeunesse et de la participation des jeunes au développement  </w:t>
            </w:r>
          </w:p>
        </w:tc>
        <w:tc>
          <w:tcPr>
            <w:tcW w:w="639" w:type="dxa"/>
            <w:tcBorders>
              <w:top w:val="single" w:sz="4" w:space="0" w:color="000000"/>
              <w:left w:val="single" w:sz="4" w:space="0" w:color="000000"/>
              <w:bottom w:val="single" w:sz="4" w:space="0" w:color="000080"/>
              <w:right w:val="single" w:sz="4" w:space="0" w:color="000000"/>
            </w:tcBorders>
          </w:tcPr>
          <w:p w14:paraId="487D93B1" w14:textId="77777777" w:rsidR="008737CE" w:rsidRDefault="004769BF">
            <w:pPr>
              <w:spacing w:after="0"/>
              <w:ind w:left="168" w:right="0" w:firstLine="0"/>
              <w:jc w:val="left"/>
            </w:pPr>
            <w:r>
              <w:t xml:space="preserve">25 </w:t>
            </w:r>
          </w:p>
        </w:tc>
        <w:tc>
          <w:tcPr>
            <w:tcW w:w="0" w:type="auto"/>
            <w:vMerge/>
            <w:tcBorders>
              <w:top w:val="nil"/>
              <w:left w:val="single" w:sz="6" w:space="0" w:color="000000"/>
              <w:bottom w:val="single" w:sz="4" w:space="0" w:color="000080"/>
              <w:right w:val="single" w:sz="4" w:space="0" w:color="000080"/>
            </w:tcBorders>
          </w:tcPr>
          <w:p w14:paraId="1497D920" w14:textId="77777777" w:rsidR="008737CE" w:rsidRDefault="008737CE">
            <w:pPr>
              <w:spacing w:after="160"/>
              <w:ind w:left="0" w:right="0" w:firstLine="0"/>
              <w:jc w:val="left"/>
            </w:pPr>
          </w:p>
        </w:tc>
      </w:tr>
      <w:tr w:rsidR="008737CE" w14:paraId="6020D18B" w14:textId="77777777" w:rsidTr="005B58AE">
        <w:trPr>
          <w:trHeight w:val="555"/>
        </w:trPr>
        <w:tc>
          <w:tcPr>
            <w:tcW w:w="568" w:type="dxa"/>
            <w:vMerge w:val="restart"/>
            <w:tcBorders>
              <w:top w:val="single" w:sz="4" w:space="0" w:color="000080"/>
              <w:left w:val="single" w:sz="4" w:space="0" w:color="000080"/>
              <w:bottom w:val="single" w:sz="4" w:space="0" w:color="000080"/>
              <w:right w:val="nil"/>
            </w:tcBorders>
            <w:vAlign w:val="bottom"/>
          </w:tcPr>
          <w:p w14:paraId="38E4C1E6" w14:textId="77777777" w:rsidR="008737CE" w:rsidRDefault="004769BF">
            <w:pPr>
              <w:spacing w:after="446"/>
              <w:ind w:left="0" w:right="-16" w:firstLine="0"/>
              <w:jc w:val="right"/>
            </w:pPr>
            <w:r>
              <w:rPr>
                <w:sz w:val="16"/>
              </w:rPr>
              <w:t xml:space="preserve"> </w:t>
            </w:r>
          </w:p>
          <w:p w14:paraId="3AEF6FF8" w14:textId="77777777" w:rsidR="008737CE" w:rsidRDefault="004769BF">
            <w:pPr>
              <w:spacing w:after="0"/>
              <w:ind w:left="0" w:right="3" w:firstLine="0"/>
              <w:jc w:val="right"/>
            </w:pPr>
            <w:r>
              <w:rPr>
                <w:sz w:val="8"/>
              </w:rPr>
              <w:t xml:space="preserve"> </w:t>
            </w:r>
          </w:p>
        </w:tc>
        <w:tc>
          <w:tcPr>
            <w:tcW w:w="692" w:type="dxa"/>
            <w:tcBorders>
              <w:top w:val="single" w:sz="4" w:space="0" w:color="000080"/>
              <w:left w:val="single" w:sz="4" w:space="0" w:color="000000"/>
              <w:bottom w:val="single" w:sz="4" w:space="0" w:color="000000"/>
              <w:right w:val="single" w:sz="4" w:space="0" w:color="000000"/>
            </w:tcBorders>
            <w:vAlign w:val="center"/>
          </w:tcPr>
          <w:p w14:paraId="0EA747A7" w14:textId="77777777" w:rsidR="008737CE" w:rsidRDefault="004769BF">
            <w:pPr>
              <w:spacing w:after="0"/>
              <w:ind w:left="104" w:right="0" w:firstLine="0"/>
              <w:jc w:val="left"/>
            </w:pPr>
            <w:r>
              <w:t xml:space="preserve">1.6 </w:t>
            </w:r>
          </w:p>
        </w:tc>
        <w:tc>
          <w:tcPr>
            <w:tcW w:w="8158" w:type="dxa"/>
            <w:tcBorders>
              <w:top w:val="single" w:sz="4" w:space="0" w:color="000080"/>
              <w:left w:val="single" w:sz="4" w:space="0" w:color="000000"/>
              <w:bottom w:val="single" w:sz="4" w:space="0" w:color="000000"/>
              <w:right w:val="single" w:sz="4" w:space="0" w:color="000000"/>
            </w:tcBorders>
          </w:tcPr>
          <w:p w14:paraId="42747AE1" w14:textId="4D918943" w:rsidR="008737CE" w:rsidRPr="00B53CA5" w:rsidRDefault="004769BF">
            <w:pPr>
              <w:spacing w:after="0"/>
              <w:ind w:left="5" w:right="0" w:firstLine="0"/>
              <w:jc w:val="left"/>
              <w:rPr>
                <w:lang w:val="fr-FR"/>
              </w:rPr>
            </w:pPr>
            <w:r w:rsidRPr="00B53CA5">
              <w:rPr>
                <w:lang w:val="fr-FR"/>
              </w:rPr>
              <w:t xml:space="preserve">Expériences d’exécution des missions similaires avec des </w:t>
            </w:r>
            <w:r w:rsidR="00FA3D14">
              <w:rPr>
                <w:lang w:val="fr-FR"/>
              </w:rPr>
              <w:t>a</w:t>
            </w:r>
            <w:r w:rsidRPr="00B53CA5">
              <w:rPr>
                <w:lang w:val="fr-FR"/>
              </w:rPr>
              <w:t xml:space="preserve">gences internationales (bilatérales et multilatérales) </w:t>
            </w:r>
          </w:p>
        </w:tc>
        <w:tc>
          <w:tcPr>
            <w:tcW w:w="639" w:type="dxa"/>
            <w:tcBorders>
              <w:top w:val="single" w:sz="4" w:space="0" w:color="000080"/>
              <w:left w:val="single" w:sz="4" w:space="0" w:color="000000"/>
              <w:bottom w:val="single" w:sz="4" w:space="0" w:color="000000"/>
              <w:right w:val="single" w:sz="4" w:space="0" w:color="000000"/>
            </w:tcBorders>
            <w:vAlign w:val="center"/>
          </w:tcPr>
          <w:p w14:paraId="099ADFD6" w14:textId="77777777" w:rsidR="008737CE" w:rsidRDefault="004769BF">
            <w:pPr>
              <w:spacing w:after="0"/>
              <w:ind w:left="162" w:right="0" w:firstLine="0"/>
              <w:jc w:val="left"/>
            </w:pPr>
            <w:r>
              <w:t xml:space="preserve">10 </w:t>
            </w:r>
          </w:p>
        </w:tc>
        <w:tc>
          <w:tcPr>
            <w:tcW w:w="125" w:type="dxa"/>
            <w:vMerge w:val="restart"/>
            <w:tcBorders>
              <w:top w:val="single" w:sz="4" w:space="0" w:color="000080"/>
              <w:left w:val="nil"/>
              <w:bottom w:val="single" w:sz="4" w:space="0" w:color="000080"/>
              <w:right w:val="single" w:sz="4" w:space="0" w:color="000080"/>
            </w:tcBorders>
          </w:tcPr>
          <w:p w14:paraId="1589BCE8" w14:textId="77777777" w:rsidR="008737CE" w:rsidRDefault="008737CE">
            <w:pPr>
              <w:spacing w:after="160"/>
              <w:ind w:left="0" w:right="0" w:firstLine="0"/>
              <w:jc w:val="left"/>
            </w:pPr>
          </w:p>
        </w:tc>
      </w:tr>
      <w:tr w:rsidR="008737CE" w14:paraId="70C7E29C" w14:textId="77777777" w:rsidTr="005B58AE">
        <w:trPr>
          <w:trHeight w:val="276"/>
        </w:trPr>
        <w:tc>
          <w:tcPr>
            <w:tcW w:w="568" w:type="dxa"/>
            <w:vMerge/>
            <w:tcBorders>
              <w:top w:val="nil"/>
              <w:left w:val="single" w:sz="4" w:space="0" w:color="000080"/>
              <w:bottom w:val="nil"/>
              <w:right w:val="nil"/>
            </w:tcBorders>
          </w:tcPr>
          <w:p w14:paraId="6613A35A" w14:textId="77777777" w:rsidR="008737CE" w:rsidRDefault="008737CE">
            <w:pPr>
              <w:spacing w:after="160"/>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shd w:val="clear" w:color="auto" w:fill="D9D9D9"/>
          </w:tcPr>
          <w:p w14:paraId="1A6E9614" w14:textId="77777777" w:rsidR="008737CE" w:rsidRDefault="004769BF">
            <w:pPr>
              <w:spacing w:after="0"/>
              <w:ind w:left="104" w:right="0" w:firstLine="0"/>
              <w:jc w:val="left"/>
            </w:pPr>
            <w:r>
              <w:t xml:space="preserve">2. </w:t>
            </w:r>
          </w:p>
        </w:tc>
        <w:tc>
          <w:tcPr>
            <w:tcW w:w="8158" w:type="dxa"/>
            <w:tcBorders>
              <w:top w:val="single" w:sz="4" w:space="0" w:color="000000"/>
              <w:left w:val="single" w:sz="4" w:space="0" w:color="000000"/>
              <w:bottom w:val="single" w:sz="4" w:space="0" w:color="000000"/>
              <w:right w:val="single" w:sz="4" w:space="0" w:color="000000"/>
            </w:tcBorders>
            <w:shd w:val="clear" w:color="auto" w:fill="D9D9D9"/>
          </w:tcPr>
          <w:p w14:paraId="1F8043B3" w14:textId="77777777" w:rsidR="008737CE" w:rsidRPr="00B53CA5" w:rsidRDefault="004769BF">
            <w:pPr>
              <w:spacing w:after="0"/>
              <w:ind w:left="5" w:right="0" w:firstLine="0"/>
              <w:jc w:val="left"/>
              <w:rPr>
                <w:lang w:val="fr-FR"/>
              </w:rPr>
            </w:pPr>
            <w:r w:rsidRPr="00B53CA5">
              <w:rPr>
                <w:lang w:val="fr-FR"/>
              </w:rPr>
              <w:t xml:space="preserve">Conformité de la méthodologie et du plan de travail proposée aux Termes de référence </w:t>
            </w:r>
          </w:p>
        </w:tc>
        <w:tc>
          <w:tcPr>
            <w:tcW w:w="639" w:type="dxa"/>
            <w:tcBorders>
              <w:top w:val="single" w:sz="4" w:space="0" w:color="000000"/>
              <w:left w:val="single" w:sz="4" w:space="0" w:color="000000"/>
              <w:bottom w:val="single" w:sz="4" w:space="0" w:color="000000"/>
              <w:right w:val="single" w:sz="4" w:space="0" w:color="000000"/>
            </w:tcBorders>
            <w:shd w:val="clear" w:color="auto" w:fill="D9D9D9"/>
          </w:tcPr>
          <w:p w14:paraId="16B1F9FB" w14:textId="77777777" w:rsidR="008737CE" w:rsidRDefault="004769BF">
            <w:pPr>
              <w:spacing w:after="0"/>
              <w:ind w:left="162" w:right="0" w:firstLine="0"/>
              <w:jc w:val="left"/>
            </w:pPr>
            <w:r>
              <w:t xml:space="preserve">30 </w:t>
            </w:r>
          </w:p>
        </w:tc>
        <w:tc>
          <w:tcPr>
            <w:tcW w:w="0" w:type="auto"/>
            <w:vMerge/>
            <w:tcBorders>
              <w:top w:val="nil"/>
              <w:left w:val="nil"/>
              <w:bottom w:val="nil"/>
              <w:right w:val="single" w:sz="4" w:space="0" w:color="000080"/>
            </w:tcBorders>
          </w:tcPr>
          <w:p w14:paraId="44CFBE64" w14:textId="77777777" w:rsidR="008737CE" w:rsidRDefault="008737CE">
            <w:pPr>
              <w:spacing w:after="160"/>
              <w:ind w:left="0" w:right="0" w:firstLine="0"/>
              <w:jc w:val="left"/>
            </w:pPr>
          </w:p>
        </w:tc>
      </w:tr>
      <w:tr w:rsidR="008737CE" w14:paraId="118A05BB" w14:textId="77777777" w:rsidTr="005B58AE">
        <w:trPr>
          <w:trHeight w:val="550"/>
        </w:trPr>
        <w:tc>
          <w:tcPr>
            <w:tcW w:w="568" w:type="dxa"/>
            <w:vMerge/>
            <w:tcBorders>
              <w:top w:val="nil"/>
              <w:left w:val="single" w:sz="4" w:space="0" w:color="000080"/>
              <w:bottom w:val="nil"/>
              <w:right w:val="nil"/>
            </w:tcBorders>
          </w:tcPr>
          <w:p w14:paraId="3F4D642C" w14:textId="77777777" w:rsidR="008737CE" w:rsidRDefault="008737CE">
            <w:pPr>
              <w:spacing w:after="160"/>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bottom"/>
          </w:tcPr>
          <w:p w14:paraId="1708BC3C" w14:textId="77777777" w:rsidR="008737CE" w:rsidRDefault="004769BF">
            <w:pPr>
              <w:spacing w:after="0"/>
              <w:ind w:left="4" w:right="0" w:firstLine="0"/>
              <w:jc w:val="left"/>
            </w:pPr>
            <w:r>
              <w:t xml:space="preserve"> </w:t>
            </w:r>
          </w:p>
        </w:tc>
        <w:tc>
          <w:tcPr>
            <w:tcW w:w="8158" w:type="dxa"/>
            <w:tcBorders>
              <w:top w:val="single" w:sz="4" w:space="0" w:color="000000"/>
              <w:left w:val="single" w:sz="4" w:space="0" w:color="000000"/>
              <w:bottom w:val="single" w:sz="4" w:space="0" w:color="000000"/>
              <w:right w:val="single" w:sz="4" w:space="0" w:color="000000"/>
            </w:tcBorders>
          </w:tcPr>
          <w:p w14:paraId="452A11E1" w14:textId="34AA2FD2" w:rsidR="008737CE" w:rsidRPr="00B53CA5" w:rsidRDefault="004769BF">
            <w:pPr>
              <w:spacing w:after="0"/>
              <w:ind w:left="5" w:right="0" w:firstLine="0"/>
              <w:rPr>
                <w:lang w:val="fr-FR"/>
              </w:rPr>
            </w:pPr>
            <w:r w:rsidRPr="00B53CA5">
              <w:rPr>
                <w:lang w:val="fr-FR"/>
              </w:rPr>
              <w:t>Approche technique, méthodologie et Plan de travail qui donne un aperçu du travail que le</w:t>
            </w:r>
            <w:r w:rsidR="00FA3D14">
              <w:rPr>
                <w:lang w:val="fr-FR"/>
              </w:rPr>
              <w:t>-la</w:t>
            </w:r>
            <w:r w:rsidRPr="00B53CA5">
              <w:rPr>
                <w:lang w:val="fr-FR"/>
              </w:rPr>
              <w:t xml:space="preserve"> consultant</w:t>
            </w:r>
            <w:r w:rsidR="00FA3D14">
              <w:rPr>
                <w:lang w:val="fr-FR"/>
              </w:rPr>
              <w:t>-e</w:t>
            </w:r>
            <w:r w:rsidRPr="00B53CA5">
              <w:rPr>
                <w:lang w:val="fr-FR"/>
              </w:rPr>
              <w:t xml:space="preserve"> entend mener pendant sa mission </w:t>
            </w:r>
          </w:p>
        </w:tc>
        <w:tc>
          <w:tcPr>
            <w:tcW w:w="639" w:type="dxa"/>
            <w:tcBorders>
              <w:top w:val="single" w:sz="4" w:space="0" w:color="000000"/>
              <w:left w:val="single" w:sz="4" w:space="0" w:color="000000"/>
              <w:bottom w:val="single" w:sz="4" w:space="0" w:color="000000"/>
              <w:right w:val="single" w:sz="4" w:space="0" w:color="000000"/>
            </w:tcBorders>
            <w:vAlign w:val="center"/>
          </w:tcPr>
          <w:p w14:paraId="79FCB489" w14:textId="77777777" w:rsidR="008737CE" w:rsidRDefault="004769BF">
            <w:pPr>
              <w:spacing w:after="0"/>
              <w:ind w:left="162" w:right="0" w:firstLine="0"/>
              <w:jc w:val="left"/>
            </w:pPr>
            <w:r>
              <w:t xml:space="preserve">30 </w:t>
            </w:r>
          </w:p>
        </w:tc>
        <w:tc>
          <w:tcPr>
            <w:tcW w:w="0" w:type="auto"/>
            <w:vMerge/>
            <w:tcBorders>
              <w:top w:val="nil"/>
              <w:left w:val="nil"/>
              <w:bottom w:val="nil"/>
              <w:right w:val="single" w:sz="4" w:space="0" w:color="000080"/>
            </w:tcBorders>
          </w:tcPr>
          <w:p w14:paraId="6EA6D6C4" w14:textId="77777777" w:rsidR="008737CE" w:rsidRDefault="008737CE">
            <w:pPr>
              <w:spacing w:after="160"/>
              <w:ind w:left="0" w:right="0" w:firstLine="0"/>
              <w:jc w:val="left"/>
            </w:pPr>
          </w:p>
        </w:tc>
      </w:tr>
      <w:tr w:rsidR="008737CE" w14:paraId="10E483F3" w14:textId="77777777" w:rsidTr="005B58AE">
        <w:trPr>
          <w:trHeight w:val="293"/>
        </w:trPr>
        <w:tc>
          <w:tcPr>
            <w:tcW w:w="568" w:type="dxa"/>
            <w:vMerge/>
            <w:tcBorders>
              <w:top w:val="nil"/>
              <w:left w:val="single" w:sz="4" w:space="0" w:color="000080"/>
              <w:bottom w:val="nil"/>
              <w:right w:val="nil"/>
            </w:tcBorders>
          </w:tcPr>
          <w:p w14:paraId="770A9964" w14:textId="77777777" w:rsidR="008737CE" w:rsidRDefault="008737CE">
            <w:pPr>
              <w:spacing w:after="160"/>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shd w:val="clear" w:color="auto" w:fill="D9D9D9"/>
          </w:tcPr>
          <w:p w14:paraId="6CAB95F3" w14:textId="77777777" w:rsidR="008737CE" w:rsidRDefault="004769BF">
            <w:pPr>
              <w:spacing w:after="0"/>
              <w:ind w:left="104" w:right="0" w:firstLine="0"/>
              <w:jc w:val="left"/>
            </w:pPr>
            <w:r>
              <w:t xml:space="preserve">3 </w:t>
            </w:r>
          </w:p>
        </w:tc>
        <w:tc>
          <w:tcPr>
            <w:tcW w:w="8158" w:type="dxa"/>
            <w:tcBorders>
              <w:top w:val="single" w:sz="4" w:space="0" w:color="000000"/>
              <w:left w:val="single" w:sz="4" w:space="0" w:color="000000"/>
              <w:bottom w:val="single" w:sz="4" w:space="0" w:color="000000"/>
              <w:right w:val="single" w:sz="4" w:space="0" w:color="000000"/>
            </w:tcBorders>
            <w:shd w:val="clear" w:color="auto" w:fill="D9D9D9"/>
          </w:tcPr>
          <w:p w14:paraId="0DA4789A" w14:textId="77777777" w:rsidR="008737CE" w:rsidRDefault="004769BF">
            <w:pPr>
              <w:spacing w:after="0"/>
              <w:ind w:left="5" w:right="0" w:firstLine="0"/>
              <w:jc w:val="left"/>
            </w:pPr>
            <w:r>
              <w:t xml:space="preserve">Capacités linguistiques </w:t>
            </w:r>
          </w:p>
        </w:tc>
        <w:tc>
          <w:tcPr>
            <w:tcW w:w="639" w:type="dxa"/>
            <w:tcBorders>
              <w:top w:val="single" w:sz="4" w:space="0" w:color="000000"/>
              <w:left w:val="single" w:sz="4" w:space="0" w:color="000000"/>
              <w:bottom w:val="single" w:sz="4" w:space="0" w:color="000000"/>
              <w:right w:val="single" w:sz="4" w:space="0" w:color="000000"/>
            </w:tcBorders>
            <w:shd w:val="clear" w:color="auto" w:fill="D9D9D9"/>
          </w:tcPr>
          <w:p w14:paraId="79B36004" w14:textId="77777777" w:rsidR="008737CE" w:rsidRDefault="004769BF">
            <w:pPr>
              <w:spacing w:after="0"/>
              <w:ind w:left="0" w:right="91" w:firstLine="0"/>
              <w:jc w:val="center"/>
            </w:pPr>
            <w:r>
              <w:t xml:space="preserve">5 </w:t>
            </w:r>
          </w:p>
        </w:tc>
        <w:tc>
          <w:tcPr>
            <w:tcW w:w="0" w:type="auto"/>
            <w:vMerge/>
            <w:tcBorders>
              <w:top w:val="nil"/>
              <w:left w:val="nil"/>
              <w:bottom w:val="nil"/>
              <w:right w:val="single" w:sz="4" w:space="0" w:color="000080"/>
            </w:tcBorders>
          </w:tcPr>
          <w:p w14:paraId="717782DE" w14:textId="77777777" w:rsidR="008737CE" w:rsidRDefault="008737CE">
            <w:pPr>
              <w:spacing w:after="160"/>
              <w:ind w:left="0" w:right="0" w:firstLine="0"/>
              <w:jc w:val="left"/>
            </w:pPr>
          </w:p>
        </w:tc>
      </w:tr>
      <w:tr w:rsidR="008737CE" w14:paraId="00A642D7" w14:textId="77777777" w:rsidTr="005B58AE">
        <w:trPr>
          <w:trHeight w:val="298"/>
        </w:trPr>
        <w:tc>
          <w:tcPr>
            <w:tcW w:w="568" w:type="dxa"/>
            <w:vMerge/>
            <w:tcBorders>
              <w:top w:val="nil"/>
              <w:left w:val="single" w:sz="4" w:space="0" w:color="000080"/>
              <w:bottom w:val="nil"/>
              <w:right w:val="nil"/>
            </w:tcBorders>
          </w:tcPr>
          <w:p w14:paraId="29A6BA26" w14:textId="77777777" w:rsidR="008737CE" w:rsidRDefault="008737CE">
            <w:pPr>
              <w:spacing w:after="160"/>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tcPr>
          <w:p w14:paraId="7C401878" w14:textId="77777777" w:rsidR="008737CE" w:rsidRDefault="004769BF">
            <w:pPr>
              <w:spacing w:after="0"/>
              <w:ind w:left="104" w:right="0" w:firstLine="0"/>
              <w:jc w:val="left"/>
            </w:pPr>
            <w:r>
              <w:t xml:space="preserve"> </w:t>
            </w:r>
          </w:p>
        </w:tc>
        <w:tc>
          <w:tcPr>
            <w:tcW w:w="8158" w:type="dxa"/>
            <w:tcBorders>
              <w:top w:val="single" w:sz="4" w:space="0" w:color="000000"/>
              <w:left w:val="single" w:sz="4" w:space="0" w:color="000000"/>
              <w:bottom w:val="single" w:sz="4" w:space="0" w:color="000000"/>
              <w:right w:val="single" w:sz="4" w:space="0" w:color="000000"/>
            </w:tcBorders>
          </w:tcPr>
          <w:p w14:paraId="41F7BD89" w14:textId="7FF94E59" w:rsidR="008737CE" w:rsidRDefault="004769BF">
            <w:pPr>
              <w:spacing w:after="0"/>
              <w:ind w:left="5" w:right="0" w:firstLine="0"/>
              <w:jc w:val="left"/>
            </w:pPr>
            <w:r>
              <w:t>Capacités rédactionnelle</w:t>
            </w:r>
            <w:r w:rsidR="00FA3D14">
              <w:t>s</w:t>
            </w:r>
            <w:r>
              <w:t xml:space="preserve">   </w:t>
            </w:r>
          </w:p>
        </w:tc>
        <w:tc>
          <w:tcPr>
            <w:tcW w:w="639" w:type="dxa"/>
            <w:tcBorders>
              <w:top w:val="single" w:sz="4" w:space="0" w:color="000000"/>
              <w:left w:val="single" w:sz="4" w:space="0" w:color="000000"/>
              <w:bottom w:val="single" w:sz="4" w:space="0" w:color="000000"/>
              <w:right w:val="single" w:sz="4" w:space="0" w:color="000000"/>
            </w:tcBorders>
          </w:tcPr>
          <w:p w14:paraId="582F1A0B" w14:textId="77777777" w:rsidR="008737CE" w:rsidRDefault="004769BF">
            <w:pPr>
              <w:spacing w:after="0"/>
              <w:ind w:left="0" w:right="86" w:firstLine="0"/>
              <w:jc w:val="center"/>
            </w:pPr>
            <w:r>
              <w:t xml:space="preserve">5 </w:t>
            </w:r>
          </w:p>
        </w:tc>
        <w:tc>
          <w:tcPr>
            <w:tcW w:w="0" w:type="auto"/>
            <w:vMerge/>
            <w:tcBorders>
              <w:top w:val="nil"/>
              <w:left w:val="nil"/>
              <w:bottom w:val="nil"/>
              <w:right w:val="single" w:sz="4" w:space="0" w:color="000080"/>
            </w:tcBorders>
          </w:tcPr>
          <w:p w14:paraId="2206F9B4" w14:textId="77777777" w:rsidR="008737CE" w:rsidRDefault="008737CE">
            <w:pPr>
              <w:spacing w:after="160"/>
              <w:ind w:left="0" w:right="0" w:firstLine="0"/>
              <w:jc w:val="left"/>
            </w:pPr>
          </w:p>
        </w:tc>
      </w:tr>
      <w:tr w:rsidR="008737CE" w14:paraId="6302E3FC" w14:textId="77777777" w:rsidTr="005B58AE">
        <w:trPr>
          <w:trHeight w:val="295"/>
        </w:trPr>
        <w:tc>
          <w:tcPr>
            <w:tcW w:w="568" w:type="dxa"/>
            <w:vMerge/>
            <w:tcBorders>
              <w:top w:val="nil"/>
              <w:left w:val="single" w:sz="4" w:space="0" w:color="000080"/>
              <w:bottom w:val="nil"/>
              <w:right w:val="nil"/>
            </w:tcBorders>
          </w:tcPr>
          <w:p w14:paraId="055EDA6C" w14:textId="77777777" w:rsidR="008737CE" w:rsidRDefault="008737CE">
            <w:pPr>
              <w:spacing w:after="160"/>
              <w:ind w:left="0" w:right="0" w:firstLine="0"/>
              <w:jc w:val="left"/>
            </w:pP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EE0A13" w14:textId="77777777" w:rsidR="008737CE" w:rsidRDefault="004769BF">
            <w:pPr>
              <w:spacing w:after="0"/>
              <w:ind w:left="83" w:right="0" w:firstLine="0"/>
              <w:jc w:val="left"/>
            </w:pPr>
            <w:r>
              <w:t xml:space="preserve">Total </w:t>
            </w:r>
          </w:p>
        </w:tc>
        <w:tc>
          <w:tcPr>
            <w:tcW w:w="639" w:type="dxa"/>
            <w:tcBorders>
              <w:top w:val="single" w:sz="4" w:space="0" w:color="000000"/>
              <w:left w:val="single" w:sz="4" w:space="0" w:color="000000"/>
              <w:bottom w:val="single" w:sz="4" w:space="0" w:color="000000"/>
              <w:right w:val="single" w:sz="4" w:space="0" w:color="000000"/>
            </w:tcBorders>
            <w:shd w:val="clear" w:color="auto" w:fill="D9D9D9"/>
          </w:tcPr>
          <w:p w14:paraId="210539A7" w14:textId="77777777" w:rsidR="008737CE" w:rsidRDefault="004769BF">
            <w:pPr>
              <w:spacing w:after="0"/>
              <w:ind w:left="107" w:right="0" w:firstLine="0"/>
              <w:jc w:val="left"/>
            </w:pPr>
            <w:r>
              <w:t xml:space="preserve">100 </w:t>
            </w:r>
          </w:p>
        </w:tc>
        <w:tc>
          <w:tcPr>
            <w:tcW w:w="0" w:type="auto"/>
            <w:vMerge/>
            <w:tcBorders>
              <w:top w:val="nil"/>
              <w:left w:val="nil"/>
              <w:bottom w:val="nil"/>
              <w:right w:val="single" w:sz="4" w:space="0" w:color="000080"/>
            </w:tcBorders>
          </w:tcPr>
          <w:p w14:paraId="60817F70" w14:textId="77777777" w:rsidR="008737CE" w:rsidRDefault="008737CE">
            <w:pPr>
              <w:spacing w:after="160"/>
              <w:ind w:left="0" w:right="0" w:firstLine="0"/>
              <w:jc w:val="left"/>
            </w:pPr>
          </w:p>
        </w:tc>
      </w:tr>
      <w:tr w:rsidR="008737CE" w:rsidRPr="00A17850" w14:paraId="46A6C460" w14:textId="77777777" w:rsidTr="005B58AE">
        <w:trPr>
          <w:trHeight w:val="3796"/>
        </w:trPr>
        <w:tc>
          <w:tcPr>
            <w:tcW w:w="568" w:type="dxa"/>
            <w:vMerge/>
            <w:tcBorders>
              <w:top w:val="nil"/>
              <w:left w:val="single" w:sz="4" w:space="0" w:color="000080"/>
              <w:bottom w:val="single" w:sz="4" w:space="0" w:color="000080"/>
              <w:right w:val="nil"/>
            </w:tcBorders>
          </w:tcPr>
          <w:p w14:paraId="00F1191C" w14:textId="77777777" w:rsidR="008737CE" w:rsidRDefault="008737CE">
            <w:pPr>
              <w:spacing w:after="160"/>
              <w:ind w:left="0" w:right="0" w:firstLine="0"/>
              <w:jc w:val="left"/>
            </w:pPr>
          </w:p>
        </w:tc>
        <w:tc>
          <w:tcPr>
            <w:tcW w:w="9489" w:type="dxa"/>
            <w:gridSpan w:val="3"/>
            <w:tcBorders>
              <w:top w:val="single" w:sz="4" w:space="0" w:color="000000"/>
              <w:left w:val="nil"/>
              <w:bottom w:val="single" w:sz="4" w:space="0" w:color="000080"/>
              <w:right w:val="nil"/>
            </w:tcBorders>
          </w:tcPr>
          <w:p w14:paraId="3C5D037D" w14:textId="77777777" w:rsidR="008737CE" w:rsidRPr="00B53CA5" w:rsidRDefault="004769BF">
            <w:pPr>
              <w:spacing w:after="0"/>
              <w:ind w:left="-20" w:right="0" w:firstLine="0"/>
              <w:jc w:val="left"/>
              <w:rPr>
                <w:lang w:val="fr-FR"/>
              </w:rPr>
            </w:pPr>
            <w:r w:rsidRPr="00B53CA5">
              <w:rPr>
                <w:lang w:val="fr-FR"/>
              </w:rPr>
              <w:t xml:space="preserve"> </w:t>
            </w:r>
          </w:p>
          <w:p w14:paraId="575BB4B7" w14:textId="0CBDFF3D" w:rsidR="008737CE" w:rsidRPr="00B53CA5" w:rsidRDefault="004769BF">
            <w:pPr>
              <w:spacing w:after="2" w:line="238" w:lineRule="auto"/>
              <w:ind w:left="-20" w:right="0" w:firstLine="0"/>
              <w:jc w:val="left"/>
              <w:rPr>
                <w:lang w:val="fr-FR"/>
              </w:rPr>
            </w:pPr>
            <w:r w:rsidRPr="00B53CA5">
              <w:rPr>
                <w:lang w:val="fr-FR"/>
              </w:rPr>
              <w:t xml:space="preserve">NB : </w:t>
            </w:r>
            <w:r w:rsidRPr="00B53CA5">
              <w:rPr>
                <w:u w:val="single" w:color="000000"/>
                <w:lang w:val="fr-FR"/>
              </w:rPr>
              <w:t>le panel peut exiger l’accès à des documents déjà développés dans le passé par le</w:t>
            </w:r>
            <w:r w:rsidR="00FA3D14">
              <w:rPr>
                <w:u w:val="single" w:color="000000"/>
                <w:lang w:val="fr-FR"/>
              </w:rPr>
              <w:t>-la</w:t>
            </w:r>
            <w:r w:rsidRPr="00B53CA5">
              <w:rPr>
                <w:u w:val="single" w:color="000000"/>
                <w:lang w:val="fr-FR"/>
              </w:rPr>
              <w:t xml:space="preserve"> consultant</w:t>
            </w:r>
            <w:r w:rsidR="00FA3D14">
              <w:rPr>
                <w:u w:val="single" w:color="000000"/>
                <w:lang w:val="fr-FR"/>
              </w:rPr>
              <w:t>-e</w:t>
            </w:r>
            <w:r w:rsidRPr="00B53CA5">
              <w:rPr>
                <w:u w:val="single" w:color="000000"/>
                <w:lang w:val="fr-FR"/>
              </w:rPr>
              <w:t xml:space="preserve"> pour</w:t>
            </w:r>
            <w:r w:rsidRPr="00B53CA5">
              <w:rPr>
                <w:lang w:val="fr-FR"/>
              </w:rPr>
              <w:t xml:space="preserve"> </w:t>
            </w:r>
            <w:r w:rsidRPr="00B53CA5">
              <w:rPr>
                <w:u w:val="single" w:color="000000"/>
                <w:lang w:val="fr-FR"/>
              </w:rPr>
              <w:t>apprécier la qualité du contenu</w:t>
            </w:r>
            <w:r w:rsidRPr="00B53CA5">
              <w:rPr>
                <w:sz w:val="20"/>
                <w:lang w:val="fr-FR"/>
              </w:rPr>
              <w:t xml:space="preserve">. </w:t>
            </w:r>
          </w:p>
          <w:p w14:paraId="7430C1C5" w14:textId="77777777" w:rsidR="008737CE" w:rsidRPr="00B53CA5" w:rsidRDefault="004769BF">
            <w:pPr>
              <w:spacing w:after="0"/>
              <w:ind w:left="-20" w:right="0" w:firstLine="0"/>
              <w:jc w:val="left"/>
              <w:rPr>
                <w:lang w:val="fr-FR"/>
              </w:rPr>
            </w:pPr>
            <w:r w:rsidRPr="00B53CA5">
              <w:rPr>
                <w:lang w:val="fr-FR"/>
              </w:rPr>
              <w:t xml:space="preserve"> </w:t>
            </w:r>
          </w:p>
          <w:p w14:paraId="0D8694FC" w14:textId="6FF57FA7" w:rsidR="008737CE" w:rsidRPr="00B53CA5" w:rsidRDefault="004769BF">
            <w:pPr>
              <w:spacing w:after="194" w:line="239" w:lineRule="auto"/>
              <w:ind w:left="-20" w:right="0" w:firstLine="0"/>
              <w:jc w:val="left"/>
              <w:rPr>
                <w:lang w:val="fr-FR"/>
              </w:rPr>
            </w:pPr>
            <w:r w:rsidRPr="00B53CA5">
              <w:rPr>
                <w:lang w:val="fr-FR"/>
              </w:rPr>
              <w:t xml:space="preserve">Seront jugés techniquement qualifiés, les candidats qui obtiendront au minimum 70 points sur 100 points sur la proposition technique ; cette note technique sera pondérée a 70%. </w:t>
            </w:r>
          </w:p>
          <w:p w14:paraId="7F0E491B" w14:textId="77777777" w:rsidR="008737CE" w:rsidRPr="00B53CA5" w:rsidRDefault="004769BF">
            <w:pPr>
              <w:spacing w:after="98" w:line="239" w:lineRule="auto"/>
              <w:ind w:left="-20" w:right="0" w:firstLine="0"/>
              <w:jc w:val="left"/>
              <w:rPr>
                <w:lang w:val="fr-FR"/>
              </w:rPr>
            </w:pPr>
            <w:r w:rsidRPr="00B53CA5">
              <w:rPr>
                <w:lang w:val="fr-FR"/>
              </w:rPr>
              <w:t xml:space="preserve">Dans l’étape 2 du processus d’évaluation, les enveloppes financières seront ouvertes et les offres financières comparées.  </w:t>
            </w:r>
          </w:p>
          <w:p w14:paraId="62178E89" w14:textId="77777777" w:rsidR="008737CE" w:rsidRPr="00B53CA5" w:rsidRDefault="004769BF">
            <w:pPr>
              <w:spacing w:after="0" w:line="239" w:lineRule="auto"/>
              <w:ind w:left="-20" w:right="0" w:firstLine="0"/>
              <w:jc w:val="left"/>
              <w:rPr>
                <w:lang w:val="fr-FR"/>
              </w:rPr>
            </w:pPr>
            <w:r w:rsidRPr="00B53CA5">
              <w:rPr>
                <w:lang w:val="fr-FR"/>
              </w:rPr>
              <w:t xml:space="preserve">Le marché ou le contrat sera attribué au consultant ayant présenté le meilleur score combiné - rapport qualité/prix, évaluation cumulative - (Technique pondérée à 70% + Financière à 30%). </w:t>
            </w:r>
          </w:p>
          <w:p w14:paraId="3CC4162E" w14:textId="77777777" w:rsidR="008737CE" w:rsidRPr="00B53CA5" w:rsidRDefault="004769BF">
            <w:pPr>
              <w:spacing w:after="0"/>
              <w:ind w:left="-20" w:right="0" w:firstLine="0"/>
              <w:jc w:val="left"/>
              <w:rPr>
                <w:lang w:val="fr-FR"/>
              </w:rPr>
            </w:pPr>
            <w:r w:rsidRPr="00B53CA5">
              <w:rPr>
                <w:lang w:val="fr-FR"/>
              </w:rPr>
              <w:t xml:space="preserve"> </w:t>
            </w:r>
          </w:p>
          <w:p w14:paraId="4993B894" w14:textId="77777777" w:rsidR="008737CE" w:rsidRPr="00B53CA5" w:rsidRDefault="004769BF">
            <w:pPr>
              <w:spacing w:after="0"/>
              <w:ind w:left="688" w:right="0" w:firstLine="0"/>
              <w:jc w:val="left"/>
              <w:rPr>
                <w:lang w:val="fr-FR"/>
              </w:rPr>
            </w:pPr>
            <w:r w:rsidRPr="00B53CA5">
              <w:rPr>
                <w:i/>
                <w:lang w:val="fr-FR"/>
              </w:rPr>
              <w:t xml:space="preserve">Cette note financière combinée à 30% est calculée pour chaque proposition sur la base de la formule suivante : Note financière A = [(Offre financière la moins disante) /Offre financière de A] x 30 </w:t>
            </w:r>
          </w:p>
        </w:tc>
        <w:tc>
          <w:tcPr>
            <w:tcW w:w="0" w:type="auto"/>
            <w:vMerge/>
            <w:tcBorders>
              <w:top w:val="nil"/>
              <w:left w:val="nil"/>
              <w:bottom w:val="single" w:sz="4" w:space="0" w:color="000080"/>
              <w:right w:val="single" w:sz="4" w:space="0" w:color="000080"/>
            </w:tcBorders>
          </w:tcPr>
          <w:p w14:paraId="431CE5C0" w14:textId="77777777" w:rsidR="008737CE" w:rsidRPr="00B53CA5" w:rsidRDefault="008737CE">
            <w:pPr>
              <w:spacing w:after="160"/>
              <w:ind w:left="0" w:right="0" w:firstLine="0"/>
              <w:jc w:val="left"/>
              <w:rPr>
                <w:lang w:val="fr-FR"/>
              </w:rPr>
            </w:pPr>
          </w:p>
        </w:tc>
      </w:tr>
    </w:tbl>
    <w:p w14:paraId="06C8779C" w14:textId="77777777" w:rsidR="008737CE" w:rsidRPr="00B53CA5" w:rsidRDefault="004769BF">
      <w:pPr>
        <w:spacing w:after="143"/>
        <w:ind w:left="0" w:right="0" w:firstLine="0"/>
        <w:jc w:val="left"/>
        <w:rPr>
          <w:lang w:val="fr-FR"/>
        </w:rPr>
      </w:pPr>
      <w:r w:rsidRPr="00B53CA5">
        <w:rPr>
          <w:sz w:val="2"/>
          <w:lang w:val="fr-FR"/>
        </w:rPr>
        <w:t xml:space="preserve"> </w:t>
      </w:r>
    </w:p>
    <w:tbl>
      <w:tblPr>
        <w:tblStyle w:val="TableGrid"/>
        <w:tblW w:w="9779" w:type="dxa"/>
        <w:tblInd w:w="2" w:type="dxa"/>
        <w:tblCellMar>
          <w:top w:w="46" w:type="dxa"/>
          <w:left w:w="106" w:type="dxa"/>
          <w:right w:w="58" w:type="dxa"/>
        </w:tblCellMar>
        <w:tblLook w:val="04A0" w:firstRow="1" w:lastRow="0" w:firstColumn="1" w:lastColumn="0" w:noHBand="0" w:noVBand="1"/>
      </w:tblPr>
      <w:tblGrid>
        <w:gridCol w:w="8080"/>
        <w:gridCol w:w="1699"/>
      </w:tblGrid>
      <w:tr w:rsidR="008737CE" w14:paraId="3A6839D4" w14:textId="77777777">
        <w:trPr>
          <w:trHeight w:val="502"/>
        </w:trPr>
        <w:tc>
          <w:tcPr>
            <w:tcW w:w="8080" w:type="dxa"/>
            <w:tcBorders>
              <w:top w:val="single" w:sz="4" w:space="0" w:color="000000"/>
              <w:left w:val="single" w:sz="4" w:space="0" w:color="000000"/>
              <w:bottom w:val="single" w:sz="4" w:space="0" w:color="000000"/>
              <w:right w:val="single" w:sz="4" w:space="0" w:color="000000"/>
            </w:tcBorders>
            <w:shd w:val="clear" w:color="auto" w:fill="BFBFBF"/>
          </w:tcPr>
          <w:p w14:paraId="53A16241" w14:textId="77777777" w:rsidR="008737CE" w:rsidRDefault="004769BF">
            <w:pPr>
              <w:spacing w:after="0"/>
              <w:ind w:left="341" w:right="0" w:firstLine="0"/>
              <w:jc w:val="left"/>
            </w:pPr>
            <w:r>
              <w:t>X.</w:t>
            </w:r>
            <w:r>
              <w:rPr>
                <w:rFonts w:ascii="Arial" w:eastAsia="Arial" w:hAnsi="Arial" w:cs="Arial"/>
                <w:b/>
              </w:rPr>
              <w:t xml:space="preserve"> </w:t>
            </w:r>
            <w:r>
              <w:t xml:space="preserve">Jalons de paiement  </w:t>
            </w:r>
          </w:p>
        </w:tc>
        <w:tc>
          <w:tcPr>
            <w:tcW w:w="1699" w:type="dxa"/>
            <w:tcBorders>
              <w:top w:val="single" w:sz="4" w:space="0" w:color="000000"/>
              <w:left w:val="single" w:sz="4" w:space="0" w:color="000000"/>
              <w:bottom w:val="single" w:sz="4" w:space="0" w:color="000000"/>
              <w:right w:val="single" w:sz="4" w:space="0" w:color="000000"/>
            </w:tcBorders>
            <w:shd w:val="clear" w:color="auto" w:fill="BFBFBF"/>
          </w:tcPr>
          <w:p w14:paraId="7143357F" w14:textId="77777777" w:rsidR="008737CE" w:rsidRDefault="004769BF">
            <w:pPr>
              <w:spacing w:after="0"/>
              <w:ind w:left="0" w:right="285" w:firstLine="0"/>
              <w:jc w:val="center"/>
            </w:pPr>
            <w:r>
              <w:t xml:space="preserve">% </w:t>
            </w:r>
          </w:p>
        </w:tc>
      </w:tr>
      <w:tr w:rsidR="008737CE" w14:paraId="4F82C853" w14:textId="77777777">
        <w:trPr>
          <w:trHeight w:val="750"/>
        </w:trPr>
        <w:tc>
          <w:tcPr>
            <w:tcW w:w="8080" w:type="dxa"/>
            <w:tcBorders>
              <w:top w:val="single" w:sz="4" w:space="0" w:color="000000"/>
              <w:left w:val="single" w:sz="4" w:space="0" w:color="000000"/>
              <w:bottom w:val="single" w:sz="4" w:space="0" w:color="000000"/>
              <w:right w:val="single" w:sz="4" w:space="0" w:color="000000"/>
            </w:tcBorders>
          </w:tcPr>
          <w:p w14:paraId="4B7F5B0C" w14:textId="703A06C9" w:rsidR="008737CE" w:rsidRPr="00B53CA5" w:rsidRDefault="004769BF">
            <w:pPr>
              <w:spacing w:after="0"/>
              <w:ind w:left="0" w:right="0" w:firstLine="0"/>
              <w:rPr>
                <w:lang w:val="fr-FR"/>
              </w:rPr>
            </w:pPr>
            <w:r w:rsidRPr="00B53CA5">
              <w:rPr>
                <w:lang w:val="fr-FR"/>
              </w:rPr>
              <w:t>1</w:t>
            </w:r>
            <w:r w:rsidRPr="00B53CA5">
              <w:rPr>
                <w:vertAlign w:val="superscript"/>
                <w:lang w:val="fr-FR"/>
              </w:rPr>
              <w:t>ère</w:t>
            </w:r>
            <w:r w:rsidRPr="00B53CA5">
              <w:rPr>
                <w:lang w:val="fr-FR"/>
              </w:rPr>
              <w:t xml:space="preserve"> Tranche : Méthodologie validée assorti d’un plan de déroulement de la mission, une fois approuvés par le MJEJ et le PNUD </w:t>
            </w:r>
            <w:r w:rsidR="00FA3D14">
              <w:rPr>
                <w:lang w:val="fr-FR"/>
              </w:rPr>
              <w:t xml:space="preserve">– </w:t>
            </w:r>
            <w:r w:rsidR="00FA3D14" w:rsidRPr="00FA3D14">
              <w:rPr>
                <w:i/>
                <w:iCs/>
                <w:lang w:val="fr-FR"/>
              </w:rPr>
              <w:t>Rapport 1</w:t>
            </w:r>
          </w:p>
        </w:tc>
        <w:tc>
          <w:tcPr>
            <w:tcW w:w="1699" w:type="dxa"/>
            <w:tcBorders>
              <w:top w:val="single" w:sz="4" w:space="0" w:color="000000"/>
              <w:left w:val="single" w:sz="4" w:space="0" w:color="000000"/>
              <w:bottom w:val="single" w:sz="4" w:space="0" w:color="000000"/>
              <w:right w:val="single" w:sz="4" w:space="0" w:color="000000"/>
            </w:tcBorders>
          </w:tcPr>
          <w:p w14:paraId="6FD4BDD0" w14:textId="77777777" w:rsidR="008737CE" w:rsidRDefault="004769BF">
            <w:pPr>
              <w:spacing w:after="0"/>
              <w:ind w:left="410" w:right="0" w:firstLine="0"/>
              <w:jc w:val="left"/>
            </w:pPr>
            <w:r>
              <w:t xml:space="preserve">25 % </w:t>
            </w:r>
          </w:p>
        </w:tc>
      </w:tr>
      <w:tr w:rsidR="008737CE" w14:paraId="3F3F87BD" w14:textId="77777777">
        <w:trPr>
          <w:trHeight w:val="840"/>
        </w:trPr>
        <w:tc>
          <w:tcPr>
            <w:tcW w:w="8080" w:type="dxa"/>
            <w:tcBorders>
              <w:top w:val="single" w:sz="4" w:space="0" w:color="000000"/>
              <w:left w:val="single" w:sz="4" w:space="0" w:color="000000"/>
              <w:bottom w:val="single" w:sz="4" w:space="0" w:color="000000"/>
              <w:right w:val="single" w:sz="4" w:space="0" w:color="000000"/>
            </w:tcBorders>
          </w:tcPr>
          <w:p w14:paraId="674C0A6A" w14:textId="77777777" w:rsidR="008737CE" w:rsidRPr="00B53CA5" w:rsidRDefault="004769BF">
            <w:pPr>
              <w:spacing w:after="0"/>
              <w:ind w:left="0" w:right="0" w:firstLine="0"/>
              <w:jc w:val="left"/>
              <w:rPr>
                <w:lang w:val="fr-FR"/>
              </w:rPr>
            </w:pPr>
            <w:r w:rsidRPr="00B53CA5">
              <w:rPr>
                <w:sz w:val="24"/>
                <w:lang w:val="fr-FR"/>
              </w:rPr>
              <w:t xml:space="preserve">2ème Tranche :  </w:t>
            </w:r>
          </w:p>
          <w:p w14:paraId="6B3884C8" w14:textId="77F2F082" w:rsidR="008737CE" w:rsidRPr="00B53CA5" w:rsidRDefault="004769BF">
            <w:pPr>
              <w:spacing w:after="0"/>
              <w:ind w:left="0" w:right="0" w:firstLine="0"/>
              <w:rPr>
                <w:lang w:val="fr-FR"/>
              </w:rPr>
            </w:pPr>
            <w:r w:rsidRPr="00B53CA5">
              <w:rPr>
                <w:lang w:val="fr-FR"/>
              </w:rPr>
              <w:t xml:space="preserve">A la présentation des </w:t>
            </w:r>
            <w:r w:rsidRPr="00FA3D14">
              <w:rPr>
                <w:i/>
                <w:iCs/>
                <w:lang w:val="fr-FR"/>
              </w:rPr>
              <w:t>Rapports 1 et 2</w:t>
            </w:r>
            <w:r w:rsidR="00FA3D14" w:rsidRPr="00FA3D14">
              <w:rPr>
                <w:i/>
                <w:iCs/>
                <w:lang w:val="fr-FR"/>
              </w:rPr>
              <w:t xml:space="preserve"> et 3</w:t>
            </w:r>
            <w:r w:rsidRPr="00B53CA5">
              <w:rPr>
                <w:lang w:val="fr-FR"/>
              </w:rPr>
              <w:t xml:space="preserve">, une fois approuvés par le MJEJ et le PNUD </w:t>
            </w:r>
          </w:p>
        </w:tc>
        <w:tc>
          <w:tcPr>
            <w:tcW w:w="1699" w:type="dxa"/>
            <w:tcBorders>
              <w:top w:val="single" w:sz="4" w:space="0" w:color="000000"/>
              <w:left w:val="single" w:sz="4" w:space="0" w:color="000000"/>
              <w:bottom w:val="single" w:sz="4" w:space="0" w:color="000000"/>
              <w:right w:val="single" w:sz="4" w:space="0" w:color="000000"/>
            </w:tcBorders>
          </w:tcPr>
          <w:p w14:paraId="724AEBA8" w14:textId="77777777" w:rsidR="008737CE" w:rsidRDefault="004769BF">
            <w:pPr>
              <w:spacing w:after="0"/>
              <w:ind w:left="434" w:right="0" w:firstLine="0"/>
              <w:jc w:val="left"/>
            </w:pPr>
            <w:r>
              <w:t xml:space="preserve">50% </w:t>
            </w:r>
          </w:p>
        </w:tc>
      </w:tr>
      <w:tr w:rsidR="008737CE" w14:paraId="45D17680" w14:textId="77777777">
        <w:trPr>
          <w:trHeight w:val="751"/>
        </w:trPr>
        <w:tc>
          <w:tcPr>
            <w:tcW w:w="8080" w:type="dxa"/>
            <w:tcBorders>
              <w:top w:val="single" w:sz="4" w:space="0" w:color="000000"/>
              <w:left w:val="single" w:sz="4" w:space="0" w:color="000000"/>
              <w:bottom w:val="single" w:sz="4" w:space="0" w:color="000000"/>
              <w:right w:val="single" w:sz="4" w:space="0" w:color="000000"/>
            </w:tcBorders>
          </w:tcPr>
          <w:p w14:paraId="0347334F" w14:textId="5EBCA3B1" w:rsidR="008737CE" w:rsidRPr="00B53CA5" w:rsidRDefault="004769BF">
            <w:pPr>
              <w:spacing w:after="0"/>
              <w:ind w:left="0" w:right="0" w:firstLine="0"/>
              <w:rPr>
                <w:lang w:val="fr-FR"/>
              </w:rPr>
            </w:pPr>
            <w:r w:rsidRPr="00B53CA5">
              <w:rPr>
                <w:lang w:val="fr-FR"/>
              </w:rPr>
              <w:t>3</w:t>
            </w:r>
            <w:r w:rsidRPr="00B53CA5">
              <w:rPr>
                <w:vertAlign w:val="superscript"/>
                <w:lang w:val="fr-FR"/>
              </w:rPr>
              <w:t>ème</w:t>
            </w:r>
            <w:r w:rsidRPr="00B53CA5">
              <w:rPr>
                <w:lang w:val="fr-FR"/>
              </w:rPr>
              <w:t xml:space="preserve"> Tranche : Rapport final après </w:t>
            </w:r>
            <w:r w:rsidR="00FA3D14">
              <w:rPr>
                <w:lang w:val="fr-FR"/>
              </w:rPr>
              <w:t xml:space="preserve">l’atelier de </w:t>
            </w:r>
            <w:r w:rsidRPr="00B53CA5">
              <w:rPr>
                <w:lang w:val="fr-FR"/>
              </w:rPr>
              <w:t xml:space="preserve">validation de la </w:t>
            </w:r>
            <w:r w:rsidR="00FA3D14">
              <w:rPr>
                <w:lang w:val="fr-FR"/>
              </w:rPr>
              <w:t>P</w:t>
            </w:r>
            <w:r w:rsidRPr="00B53CA5">
              <w:rPr>
                <w:lang w:val="fr-FR"/>
              </w:rPr>
              <w:t>olitique nationale de la et finalisation d</w:t>
            </w:r>
            <w:r w:rsidR="00FA3D14">
              <w:rPr>
                <w:lang w:val="fr-FR"/>
              </w:rPr>
              <w:t>es</w:t>
            </w:r>
            <w:r w:rsidRPr="00B53CA5">
              <w:rPr>
                <w:lang w:val="fr-FR"/>
              </w:rPr>
              <w:t xml:space="preserve"> document</w:t>
            </w:r>
            <w:r w:rsidR="00FA3D14">
              <w:rPr>
                <w:lang w:val="fr-FR"/>
              </w:rPr>
              <w:t>s</w:t>
            </w:r>
            <w:r w:rsidRPr="00B53CA5">
              <w:rPr>
                <w:lang w:val="fr-FR"/>
              </w:rPr>
              <w:t xml:space="preserve">.  </w:t>
            </w:r>
            <w:r w:rsidRPr="00B53CA5">
              <w:rPr>
                <w:i/>
                <w:sz w:val="21"/>
                <w:lang w:val="fr-FR"/>
              </w:rPr>
              <w:t xml:space="preserve"> </w:t>
            </w:r>
            <w:r w:rsidR="00FA3D14">
              <w:rPr>
                <w:i/>
                <w:sz w:val="21"/>
                <w:lang w:val="fr-FR"/>
              </w:rPr>
              <w:t>Rapports 4 et 5</w:t>
            </w:r>
          </w:p>
        </w:tc>
        <w:tc>
          <w:tcPr>
            <w:tcW w:w="1699" w:type="dxa"/>
            <w:tcBorders>
              <w:top w:val="single" w:sz="4" w:space="0" w:color="000000"/>
              <w:left w:val="single" w:sz="4" w:space="0" w:color="000000"/>
              <w:bottom w:val="single" w:sz="4" w:space="0" w:color="000000"/>
              <w:right w:val="single" w:sz="4" w:space="0" w:color="000000"/>
            </w:tcBorders>
          </w:tcPr>
          <w:p w14:paraId="5D88026A" w14:textId="77777777" w:rsidR="008737CE" w:rsidRDefault="004769BF">
            <w:pPr>
              <w:spacing w:after="0"/>
              <w:ind w:left="434" w:right="0" w:firstLine="0"/>
              <w:jc w:val="left"/>
            </w:pPr>
            <w:r>
              <w:t xml:space="preserve">25% </w:t>
            </w:r>
          </w:p>
        </w:tc>
      </w:tr>
    </w:tbl>
    <w:p w14:paraId="0FBBDCC0" w14:textId="77777777" w:rsidR="008737CE" w:rsidRDefault="004769BF">
      <w:pPr>
        <w:spacing w:after="177"/>
        <w:ind w:left="0" w:right="0" w:firstLine="0"/>
        <w:jc w:val="left"/>
      </w:pPr>
      <w:r>
        <w:t xml:space="preserve"> </w:t>
      </w:r>
    </w:p>
    <w:p w14:paraId="351079D5" w14:textId="77777777" w:rsidR="008737CE" w:rsidRPr="00B53CA5" w:rsidRDefault="004769BF">
      <w:pPr>
        <w:ind w:left="-5" w:right="1402"/>
        <w:rPr>
          <w:lang w:val="fr-FR"/>
        </w:rPr>
      </w:pPr>
      <w:r w:rsidRPr="00B53CA5">
        <w:rPr>
          <w:u w:val="single" w:color="000000"/>
          <w:lang w:val="fr-FR"/>
        </w:rPr>
        <w:t>N.B :</w:t>
      </w:r>
      <w:r w:rsidRPr="00B53CA5">
        <w:rPr>
          <w:i/>
          <w:u w:val="single" w:color="000000"/>
          <w:lang w:val="fr-FR"/>
        </w:rPr>
        <w:t xml:space="preserve"> </w:t>
      </w:r>
      <w:r w:rsidRPr="00B53CA5">
        <w:rPr>
          <w:lang w:val="fr-FR"/>
        </w:rPr>
        <w:t>Les candidat (e)s sont tenus de se renseigner sur le</w:t>
      </w:r>
      <w:hyperlink r:id="rId7">
        <w:r w:rsidRPr="00B53CA5">
          <w:rPr>
            <w:lang w:val="fr-FR"/>
          </w:rPr>
          <w:t xml:space="preserve">s </w:t>
        </w:r>
      </w:hyperlink>
      <w:hyperlink r:id="rId8">
        <w:r w:rsidRPr="00B53CA5">
          <w:rPr>
            <w:color w:val="0000FF"/>
            <w:u w:val="single" w:color="0000FF"/>
            <w:lang w:val="fr-FR"/>
          </w:rPr>
          <w:t>Conditions Générales des Contrats Individuels</w:t>
        </w:r>
      </w:hyperlink>
      <w:hyperlink r:id="rId9">
        <w:r w:rsidRPr="00B53CA5">
          <w:rPr>
            <w:color w:val="0000FF"/>
            <w:lang w:val="fr-FR"/>
          </w:rPr>
          <w:t xml:space="preserve"> </w:t>
        </w:r>
      </w:hyperlink>
      <w:r w:rsidRPr="00B53CA5">
        <w:rPr>
          <w:color w:val="0000FF"/>
          <w:u w:val="single" w:color="0000FF"/>
          <w:lang w:val="fr-FR"/>
        </w:rPr>
        <w:t>(annexe 1)</w:t>
      </w:r>
      <w:r w:rsidRPr="00B53CA5">
        <w:rPr>
          <w:lang w:val="fr-FR"/>
        </w:rPr>
        <w:t xml:space="preserve">. (Cliquer sur « </w:t>
      </w:r>
      <w:r w:rsidRPr="00B53CA5">
        <w:rPr>
          <w:u w:val="single" w:color="000000"/>
          <w:lang w:val="fr-FR"/>
        </w:rPr>
        <w:t>Conditions Générales des Contrats Individuels</w:t>
      </w:r>
      <w:r w:rsidRPr="00B53CA5">
        <w:rPr>
          <w:lang w:val="fr-FR"/>
        </w:rPr>
        <w:t xml:space="preserve"> » pour télécharger le document)</w:t>
      </w:r>
      <w:r w:rsidRPr="00B53CA5">
        <w:rPr>
          <w:i/>
          <w:lang w:val="fr-FR"/>
        </w:rPr>
        <w:t xml:space="preserve"> </w:t>
      </w:r>
    </w:p>
    <w:p w14:paraId="541EB02D" w14:textId="77777777" w:rsidR="008737CE" w:rsidRPr="00B53CA5" w:rsidRDefault="004769BF">
      <w:pPr>
        <w:spacing w:after="0"/>
        <w:ind w:left="852" w:right="0" w:firstLine="0"/>
        <w:jc w:val="left"/>
        <w:rPr>
          <w:lang w:val="fr-FR"/>
        </w:rPr>
      </w:pPr>
      <w:r w:rsidRPr="00B53CA5">
        <w:rPr>
          <w:lang w:val="fr-FR"/>
        </w:rPr>
        <w:t xml:space="preserve"> </w:t>
      </w:r>
    </w:p>
    <w:p w14:paraId="38599959" w14:textId="77777777" w:rsidR="008737CE" w:rsidRPr="00B53CA5" w:rsidRDefault="004769BF">
      <w:pPr>
        <w:pStyle w:val="Titre1"/>
        <w:ind w:left="-5"/>
        <w:rPr>
          <w:lang w:val="fr-FR"/>
        </w:rPr>
      </w:pPr>
      <w:r w:rsidRPr="00B53CA5">
        <w:rPr>
          <w:lang w:val="fr-FR"/>
        </w:rPr>
        <w:t>ANNEXES</w:t>
      </w:r>
      <w:r w:rsidRPr="00B53CA5">
        <w:rPr>
          <w:u w:val="none"/>
          <w:lang w:val="fr-FR"/>
        </w:rPr>
        <w:t xml:space="preserve"> </w:t>
      </w:r>
    </w:p>
    <w:p w14:paraId="605CAD7E" w14:textId="77777777" w:rsidR="008737CE" w:rsidRPr="00B53CA5" w:rsidRDefault="004769BF">
      <w:pPr>
        <w:spacing w:after="0"/>
        <w:ind w:left="0" w:right="0" w:firstLine="0"/>
        <w:jc w:val="left"/>
        <w:rPr>
          <w:lang w:val="fr-FR"/>
        </w:rPr>
      </w:pPr>
      <w:r w:rsidRPr="00B53CA5">
        <w:rPr>
          <w:lang w:val="fr-FR"/>
        </w:rPr>
        <w:t xml:space="preserve"> </w:t>
      </w:r>
    </w:p>
    <w:p w14:paraId="5E78A386" w14:textId="77777777" w:rsidR="008737CE" w:rsidRPr="00B53CA5" w:rsidRDefault="004769BF">
      <w:pPr>
        <w:ind w:left="-5" w:right="1402"/>
        <w:rPr>
          <w:lang w:val="fr-FR"/>
        </w:rPr>
      </w:pPr>
      <w:r w:rsidRPr="00B53CA5">
        <w:rPr>
          <w:lang w:val="fr-FR"/>
        </w:rPr>
        <w:t xml:space="preserve">Annexe 1 - Conditions générales des Contrats Individuels : </w:t>
      </w:r>
    </w:p>
    <w:p w14:paraId="552622F8" w14:textId="77777777" w:rsidR="008737CE" w:rsidRDefault="004769BF">
      <w:pPr>
        <w:spacing w:after="55"/>
        <w:ind w:left="521" w:right="0" w:firstLine="0"/>
        <w:jc w:val="left"/>
      </w:pPr>
      <w:r>
        <w:rPr>
          <w:noProof/>
        </w:rPr>
        <w:drawing>
          <wp:inline distT="0" distB="0" distL="0" distR="0" wp14:anchorId="3BE8A921" wp14:editId="67AD3120">
            <wp:extent cx="301971" cy="309371"/>
            <wp:effectExtent l="0" t="0" r="0" b="0"/>
            <wp:docPr id="2085" name="Picture 2085"/>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10"/>
                    <a:stretch>
                      <a:fillRect/>
                    </a:stretch>
                  </pic:blipFill>
                  <pic:spPr>
                    <a:xfrm flipV="1">
                      <a:off x="0" y="0"/>
                      <a:ext cx="301971" cy="309371"/>
                    </a:xfrm>
                    <a:prstGeom prst="rect">
                      <a:avLst/>
                    </a:prstGeom>
                  </pic:spPr>
                </pic:pic>
              </a:graphicData>
            </a:graphic>
          </wp:inline>
        </w:drawing>
      </w:r>
    </w:p>
    <w:p w14:paraId="33187563" w14:textId="77777777" w:rsidR="008737CE" w:rsidRPr="00B53CA5" w:rsidRDefault="004769BF">
      <w:pPr>
        <w:spacing w:after="0" w:line="233" w:lineRule="auto"/>
        <w:ind w:left="40" w:right="8687" w:hanging="40"/>
        <w:jc w:val="left"/>
        <w:rPr>
          <w:lang w:val="fr-FR"/>
        </w:rPr>
      </w:pPr>
      <w:r w:rsidRPr="00B53CA5">
        <w:rPr>
          <w:rFonts w:ascii="Tahoma" w:eastAsia="Tahoma" w:hAnsi="Tahoma" w:cs="Tahoma"/>
          <w:sz w:val="17"/>
          <w:lang w:val="fr-FR"/>
        </w:rPr>
        <w:t>Conditions générales des contrats prestata</w:t>
      </w:r>
    </w:p>
    <w:p w14:paraId="4C5C2304" w14:textId="77777777" w:rsidR="008737CE" w:rsidRPr="00B53CA5" w:rsidRDefault="004769BF">
      <w:pPr>
        <w:spacing w:after="0"/>
        <w:ind w:left="1517" w:right="0" w:firstLine="0"/>
        <w:jc w:val="left"/>
        <w:rPr>
          <w:lang w:val="fr-FR"/>
        </w:rPr>
      </w:pPr>
      <w:r w:rsidRPr="00B53CA5">
        <w:rPr>
          <w:lang w:val="fr-FR"/>
        </w:rPr>
        <w:t xml:space="preserve">  </w:t>
      </w:r>
    </w:p>
    <w:p w14:paraId="05B8384F" w14:textId="77777777" w:rsidR="008737CE" w:rsidRPr="00B53CA5" w:rsidRDefault="004769BF">
      <w:pPr>
        <w:spacing w:after="0"/>
        <w:ind w:left="0" w:right="0" w:firstLine="0"/>
        <w:jc w:val="left"/>
        <w:rPr>
          <w:lang w:val="fr-FR"/>
        </w:rPr>
      </w:pPr>
      <w:r w:rsidRPr="00B53CA5">
        <w:rPr>
          <w:lang w:val="fr-FR"/>
        </w:rPr>
        <w:t xml:space="preserve"> </w:t>
      </w:r>
    </w:p>
    <w:p w14:paraId="0754D8BD" w14:textId="77777777" w:rsidR="008737CE" w:rsidRPr="00B53CA5" w:rsidRDefault="004769BF">
      <w:pPr>
        <w:ind w:left="-5" w:right="1402"/>
        <w:rPr>
          <w:lang w:val="fr-FR"/>
        </w:rPr>
      </w:pPr>
      <w:r w:rsidRPr="00B53CA5">
        <w:rPr>
          <w:lang w:val="fr-FR"/>
        </w:rPr>
        <w:t xml:space="preserve">Annexe 2 – Tableau des Coûts </w:t>
      </w:r>
    </w:p>
    <w:p w14:paraId="5D0B7A50" w14:textId="77777777" w:rsidR="008737CE" w:rsidRPr="00B53CA5" w:rsidRDefault="004769BF">
      <w:pPr>
        <w:spacing w:after="0"/>
        <w:ind w:left="0" w:right="0" w:firstLine="0"/>
        <w:jc w:val="left"/>
        <w:rPr>
          <w:lang w:val="fr-FR"/>
        </w:rPr>
      </w:pPr>
      <w:r w:rsidRPr="00B53CA5">
        <w:rPr>
          <w:lang w:val="fr-FR"/>
        </w:rPr>
        <w:t xml:space="preserve"> </w:t>
      </w:r>
    </w:p>
    <w:p w14:paraId="1C603CFC" w14:textId="77777777" w:rsidR="008737CE" w:rsidRPr="00AF4578" w:rsidRDefault="004769BF">
      <w:pPr>
        <w:tabs>
          <w:tab w:val="center" w:pos="603"/>
          <w:tab w:val="center" w:pos="1145"/>
        </w:tabs>
        <w:spacing w:after="4"/>
        <w:ind w:left="0" w:right="0" w:firstLine="0"/>
        <w:jc w:val="left"/>
        <w:rPr>
          <w:lang w:val="fr-FR"/>
        </w:rPr>
      </w:pPr>
      <w:r w:rsidRPr="00B53CA5">
        <w:rPr>
          <w:lang w:val="fr-FR"/>
        </w:rPr>
        <w:tab/>
      </w:r>
      <w:r>
        <w:rPr>
          <w:noProof/>
        </w:rPr>
        <w:drawing>
          <wp:inline distT="0" distB="0" distL="0" distR="0" wp14:anchorId="7A42862B" wp14:editId="65220EE3">
            <wp:extent cx="162029" cy="170234"/>
            <wp:effectExtent l="0" t="0" r="0" b="0"/>
            <wp:docPr id="2206" name="Picture 2206"/>
            <wp:cNvGraphicFramePr/>
            <a:graphic xmlns:a="http://schemas.openxmlformats.org/drawingml/2006/main">
              <a:graphicData uri="http://schemas.openxmlformats.org/drawingml/2006/picture">
                <pic:pic xmlns:pic="http://schemas.openxmlformats.org/drawingml/2006/picture">
                  <pic:nvPicPr>
                    <pic:cNvPr id="2206" name="Picture 2206"/>
                    <pic:cNvPicPr/>
                  </pic:nvPicPr>
                  <pic:blipFill>
                    <a:blip r:embed="rId10"/>
                    <a:stretch>
                      <a:fillRect/>
                    </a:stretch>
                  </pic:blipFill>
                  <pic:spPr>
                    <a:xfrm flipV="1">
                      <a:off x="0" y="0"/>
                      <a:ext cx="162029" cy="170234"/>
                    </a:xfrm>
                    <a:prstGeom prst="rect">
                      <a:avLst/>
                    </a:prstGeom>
                  </pic:spPr>
                </pic:pic>
              </a:graphicData>
            </a:graphic>
          </wp:inline>
        </w:drawing>
      </w:r>
      <w:r w:rsidRPr="00AF4578">
        <w:rPr>
          <w:lang w:val="fr-FR"/>
        </w:rPr>
        <w:tab/>
        <w:t xml:space="preserve"> </w:t>
      </w:r>
    </w:p>
    <w:p w14:paraId="331054EE" w14:textId="77777777" w:rsidR="008737CE" w:rsidRPr="00B53CA5" w:rsidRDefault="004769BF">
      <w:pPr>
        <w:tabs>
          <w:tab w:val="center" w:pos="558"/>
          <w:tab w:val="center" w:pos="1145"/>
        </w:tabs>
        <w:spacing w:after="141"/>
        <w:ind w:left="0" w:right="0" w:firstLine="0"/>
        <w:jc w:val="left"/>
        <w:rPr>
          <w:lang w:val="fr-FR"/>
        </w:rPr>
      </w:pPr>
      <w:r w:rsidRPr="00AF4578">
        <w:rPr>
          <w:lang w:val="fr-FR"/>
        </w:rPr>
        <w:tab/>
      </w:r>
      <w:r w:rsidRPr="00B53CA5">
        <w:rPr>
          <w:rFonts w:ascii="Tahoma" w:eastAsia="Tahoma" w:hAnsi="Tahoma" w:cs="Tahoma"/>
          <w:sz w:val="9"/>
          <w:lang w:val="fr-FR"/>
        </w:rPr>
        <w:t xml:space="preserve">Tableau des </w:t>
      </w:r>
      <w:r w:rsidRPr="00B53CA5">
        <w:rPr>
          <w:rFonts w:ascii="Tahoma" w:eastAsia="Tahoma" w:hAnsi="Tahoma" w:cs="Tahoma"/>
          <w:sz w:val="14"/>
          <w:vertAlign w:val="subscript"/>
          <w:lang w:val="fr-FR"/>
        </w:rPr>
        <w:t>Coûts.docx</w:t>
      </w:r>
      <w:r w:rsidRPr="00B53CA5">
        <w:rPr>
          <w:rFonts w:ascii="Tahoma" w:eastAsia="Tahoma" w:hAnsi="Tahoma" w:cs="Tahoma"/>
          <w:sz w:val="14"/>
          <w:vertAlign w:val="subscript"/>
          <w:lang w:val="fr-FR"/>
        </w:rPr>
        <w:tab/>
      </w:r>
      <w:r w:rsidRPr="00B53CA5">
        <w:rPr>
          <w:lang w:val="fr-FR"/>
        </w:rPr>
        <w:t xml:space="preserve"> </w:t>
      </w:r>
    </w:p>
    <w:p w14:paraId="14970FF2" w14:textId="77777777" w:rsidR="008737CE" w:rsidRPr="00B53CA5" w:rsidRDefault="004769BF">
      <w:pPr>
        <w:spacing w:after="0"/>
        <w:ind w:left="0" w:right="0" w:firstLine="0"/>
        <w:jc w:val="left"/>
        <w:rPr>
          <w:lang w:val="fr-FR"/>
        </w:rPr>
      </w:pPr>
      <w:r w:rsidRPr="00B53CA5">
        <w:rPr>
          <w:lang w:val="fr-FR"/>
        </w:rPr>
        <w:t xml:space="preserve"> </w:t>
      </w:r>
    </w:p>
    <w:p w14:paraId="024B7675" w14:textId="77777777" w:rsidR="008737CE" w:rsidRPr="00B53CA5" w:rsidRDefault="004769BF">
      <w:pPr>
        <w:ind w:left="-5" w:right="1402"/>
        <w:rPr>
          <w:lang w:val="fr-FR"/>
        </w:rPr>
      </w:pPr>
      <w:r w:rsidRPr="00B53CA5">
        <w:rPr>
          <w:lang w:val="fr-FR"/>
        </w:rPr>
        <w:t xml:space="preserve">Annexe 3 – P11 (SC &amp; IC)  </w:t>
      </w:r>
    </w:p>
    <w:p w14:paraId="240C1B2E" w14:textId="77777777" w:rsidR="008737CE" w:rsidRDefault="004769BF">
      <w:pPr>
        <w:spacing w:after="55"/>
        <w:ind w:left="521" w:right="0" w:firstLine="0"/>
        <w:jc w:val="left"/>
      </w:pPr>
      <w:r>
        <w:rPr>
          <w:noProof/>
        </w:rPr>
        <w:drawing>
          <wp:inline distT="0" distB="0" distL="0" distR="0" wp14:anchorId="66A210A0" wp14:editId="7264B51F">
            <wp:extent cx="301971" cy="309376"/>
            <wp:effectExtent l="0" t="0" r="0" b="0"/>
            <wp:docPr id="2131" name="Picture 2131"/>
            <wp:cNvGraphicFramePr/>
            <a:graphic xmlns:a="http://schemas.openxmlformats.org/drawingml/2006/main">
              <a:graphicData uri="http://schemas.openxmlformats.org/drawingml/2006/picture">
                <pic:pic xmlns:pic="http://schemas.openxmlformats.org/drawingml/2006/picture">
                  <pic:nvPicPr>
                    <pic:cNvPr id="2131" name="Picture 2131"/>
                    <pic:cNvPicPr/>
                  </pic:nvPicPr>
                  <pic:blipFill>
                    <a:blip r:embed="rId11"/>
                    <a:stretch>
                      <a:fillRect/>
                    </a:stretch>
                  </pic:blipFill>
                  <pic:spPr>
                    <a:xfrm flipV="1">
                      <a:off x="0" y="0"/>
                      <a:ext cx="301971" cy="309376"/>
                    </a:xfrm>
                    <a:prstGeom prst="rect">
                      <a:avLst/>
                    </a:prstGeom>
                  </pic:spPr>
                </pic:pic>
              </a:graphicData>
            </a:graphic>
          </wp:inline>
        </w:drawing>
      </w:r>
    </w:p>
    <w:p w14:paraId="7F7B81C9" w14:textId="77777777" w:rsidR="008737CE" w:rsidRDefault="004769BF">
      <w:pPr>
        <w:spacing w:after="0" w:line="233" w:lineRule="auto"/>
        <w:ind w:left="40" w:right="8687" w:hanging="40"/>
        <w:jc w:val="left"/>
      </w:pPr>
      <w:r>
        <w:rPr>
          <w:rFonts w:ascii="Tahoma" w:eastAsia="Tahoma" w:hAnsi="Tahoma" w:cs="Tahoma"/>
          <w:sz w:val="17"/>
        </w:rPr>
        <w:lastRenderedPageBreak/>
        <w:t>P11 modified for SCs and SSAs-Draft.doc</w:t>
      </w:r>
    </w:p>
    <w:p w14:paraId="402EF734" w14:textId="77777777" w:rsidR="008737CE" w:rsidRDefault="004769BF">
      <w:pPr>
        <w:spacing w:after="0"/>
        <w:ind w:left="1517" w:right="0" w:firstLine="0"/>
        <w:jc w:val="left"/>
      </w:pPr>
      <w:r>
        <w:t xml:space="preserve"> </w:t>
      </w:r>
    </w:p>
    <w:p w14:paraId="64CE510B" w14:textId="77777777" w:rsidR="008737CE" w:rsidRDefault="004769BF">
      <w:pPr>
        <w:spacing w:after="0"/>
        <w:ind w:left="0" w:right="0" w:firstLine="0"/>
        <w:jc w:val="left"/>
      </w:pPr>
      <w:r>
        <w:t xml:space="preserve"> </w:t>
      </w:r>
    </w:p>
    <w:p w14:paraId="5A07F3F4" w14:textId="77777777" w:rsidR="008737CE" w:rsidRPr="00B53CA5" w:rsidRDefault="004769BF">
      <w:pPr>
        <w:pStyle w:val="Titre1"/>
        <w:spacing w:after="139"/>
        <w:ind w:left="-5"/>
        <w:rPr>
          <w:lang w:val="fr-FR"/>
        </w:rPr>
      </w:pPr>
      <w:r w:rsidRPr="00B53CA5">
        <w:rPr>
          <w:lang w:val="fr-FR"/>
        </w:rPr>
        <w:t>Date limite et lieu de remise des candidatures</w:t>
      </w:r>
      <w:r w:rsidRPr="00B53CA5">
        <w:rPr>
          <w:u w:val="none"/>
          <w:lang w:val="fr-FR"/>
        </w:rPr>
        <w:t xml:space="preserve"> </w:t>
      </w:r>
    </w:p>
    <w:p w14:paraId="7E26B320" w14:textId="77777777" w:rsidR="008737CE" w:rsidRPr="00B53CA5" w:rsidRDefault="004769BF">
      <w:pPr>
        <w:spacing w:after="5" w:line="250" w:lineRule="auto"/>
        <w:ind w:left="-5" w:right="0"/>
        <w:rPr>
          <w:lang w:val="fr-FR"/>
        </w:rPr>
      </w:pPr>
      <w:r w:rsidRPr="00B53CA5">
        <w:rPr>
          <w:sz w:val="24"/>
          <w:lang w:val="fr-FR"/>
        </w:rPr>
        <w:t xml:space="preserve">Le dossier complet devra nous parvenir par dépôt à l'adresse suivante :  </w:t>
      </w:r>
    </w:p>
    <w:p w14:paraId="2DB2CA83" w14:textId="77777777" w:rsidR="008737CE" w:rsidRPr="00B53CA5" w:rsidRDefault="004769BF">
      <w:pPr>
        <w:ind w:left="1781" w:right="1402"/>
        <w:rPr>
          <w:lang w:val="fr-FR"/>
        </w:rPr>
      </w:pPr>
      <w:r w:rsidRPr="00B53CA5">
        <w:rPr>
          <w:lang w:val="fr-FR"/>
        </w:rPr>
        <w:t xml:space="preserve">Programme des Nations Unies pour le Développement (PNUD) </w:t>
      </w:r>
    </w:p>
    <w:p w14:paraId="3F0FCF0B" w14:textId="77777777" w:rsidR="008737CE" w:rsidRPr="00B53CA5" w:rsidRDefault="004769BF">
      <w:pPr>
        <w:ind w:left="3735" w:right="1402"/>
        <w:rPr>
          <w:lang w:val="fr-FR"/>
        </w:rPr>
      </w:pPr>
      <w:r w:rsidRPr="00B53CA5">
        <w:rPr>
          <w:lang w:val="fr-FR"/>
        </w:rPr>
        <w:t xml:space="preserve">Maison Commune </w:t>
      </w:r>
    </w:p>
    <w:p w14:paraId="5C86AF76" w14:textId="77777777" w:rsidR="008737CE" w:rsidRPr="00B53CA5" w:rsidRDefault="004769BF">
      <w:pPr>
        <w:spacing w:after="139"/>
        <w:ind w:left="2160" w:right="1402"/>
        <w:rPr>
          <w:lang w:val="fr-FR"/>
        </w:rPr>
      </w:pPr>
      <w:r w:rsidRPr="00B53CA5">
        <w:rPr>
          <w:lang w:val="fr-FR"/>
        </w:rPr>
        <w:t xml:space="preserve">Commune de Matam Coléah Corniche Sud, Rue M002 </w:t>
      </w:r>
    </w:p>
    <w:p w14:paraId="3606333C" w14:textId="08D37C34" w:rsidR="008737CE" w:rsidRPr="00B53CA5" w:rsidRDefault="004769BF">
      <w:pPr>
        <w:spacing w:after="5" w:line="250" w:lineRule="auto"/>
        <w:ind w:left="-15" w:right="4167" w:firstLine="3017"/>
        <w:rPr>
          <w:lang w:val="fr-FR"/>
        </w:rPr>
      </w:pPr>
      <w:r w:rsidRPr="00B53CA5">
        <w:rPr>
          <w:sz w:val="24"/>
          <w:lang w:val="fr-FR"/>
        </w:rPr>
        <w:t xml:space="preserve">BP 222 Conakry, Rép de Guinée Ou par email : </w:t>
      </w:r>
      <w:r w:rsidRPr="00B53CA5">
        <w:rPr>
          <w:color w:val="0563C1"/>
          <w:sz w:val="24"/>
          <w:u w:val="single" w:color="0563C1"/>
          <w:lang w:val="fr-FR"/>
        </w:rPr>
        <w:t>ic.offres.gn@undp.org</w:t>
      </w:r>
      <w:r w:rsidRPr="00B53CA5">
        <w:rPr>
          <w:color w:val="0563C1"/>
          <w:sz w:val="24"/>
          <w:lang w:val="fr-FR"/>
        </w:rPr>
        <w:t xml:space="preserve"> </w:t>
      </w:r>
      <w:r w:rsidRPr="00B53CA5">
        <w:rPr>
          <w:sz w:val="24"/>
          <w:lang w:val="fr-FR"/>
        </w:rPr>
        <w:t xml:space="preserve"> </w:t>
      </w:r>
      <w:r w:rsidRPr="00B53CA5">
        <w:rPr>
          <w:lang w:val="fr-FR"/>
        </w:rPr>
        <w:t xml:space="preserve">Au plus tard : </w:t>
      </w:r>
      <w:r w:rsidRPr="00B53CA5">
        <w:rPr>
          <w:shd w:val="clear" w:color="auto" w:fill="FFFF00"/>
          <w:lang w:val="fr-FR"/>
        </w:rPr>
        <w:t xml:space="preserve">Le </w:t>
      </w:r>
      <w:r w:rsidR="00FA3D14">
        <w:rPr>
          <w:shd w:val="clear" w:color="auto" w:fill="FFFF00"/>
          <w:lang w:val="fr-FR"/>
        </w:rPr>
        <w:t xml:space="preserve">15 </w:t>
      </w:r>
      <w:r w:rsidRPr="00B53CA5">
        <w:rPr>
          <w:shd w:val="clear" w:color="auto" w:fill="FFFF00"/>
          <w:lang w:val="fr-FR"/>
        </w:rPr>
        <w:t>septembre 2021 à 16 Heures GMT.</w:t>
      </w:r>
      <w:r w:rsidRPr="00B53CA5">
        <w:rPr>
          <w:lang w:val="fr-FR"/>
        </w:rPr>
        <w:t xml:space="preserve"> </w:t>
      </w:r>
    </w:p>
    <w:p w14:paraId="26E857D2" w14:textId="77777777" w:rsidR="008737CE" w:rsidRPr="00B53CA5" w:rsidRDefault="004769BF">
      <w:pPr>
        <w:spacing w:after="166"/>
        <w:ind w:left="0" w:right="0" w:firstLine="0"/>
        <w:jc w:val="left"/>
        <w:rPr>
          <w:lang w:val="fr-FR"/>
        </w:rPr>
      </w:pPr>
      <w:r w:rsidRPr="00B53CA5">
        <w:rPr>
          <w:sz w:val="21"/>
          <w:lang w:val="fr-FR"/>
        </w:rPr>
        <w:t xml:space="preserve"> </w:t>
      </w:r>
    </w:p>
    <w:p w14:paraId="3A7DD0A8" w14:textId="77777777" w:rsidR="008737CE" w:rsidRPr="00B53CA5" w:rsidRDefault="004769BF">
      <w:pPr>
        <w:spacing w:after="89"/>
        <w:ind w:left="-5" w:right="1402"/>
        <w:rPr>
          <w:lang w:val="fr-FR"/>
        </w:rPr>
      </w:pPr>
      <w:r w:rsidRPr="00B53CA5">
        <w:rPr>
          <w:lang w:val="fr-FR"/>
        </w:rPr>
        <w:t xml:space="preserve">Tout consultant éventuel qui aurait besoin de clarifications à propos du document d'invitation à soumissionner peut en informer par écrit l'entité du PNUD chargée des achats à l'adresse indiquée dans l'invitation à soumissionner ou par e-mail à l'adresse : </w:t>
      </w:r>
      <w:r w:rsidRPr="00B53CA5">
        <w:rPr>
          <w:color w:val="0563C1"/>
          <w:u w:val="single" w:color="0563C1"/>
          <w:lang w:val="fr-FR"/>
        </w:rPr>
        <w:t>info.offres.gn@undp.org</w:t>
      </w:r>
      <w:r w:rsidRPr="00B53CA5">
        <w:rPr>
          <w:lang w:val="fr-FR"/>
        </w:rPr>
        <w:t xml:space="preserve">.  Peut aussi demander l’intégralité des TDR.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 consultant éventuel intéressé est invité à présenter son dossier complet y compris l’offre financière en hors taxes (HT) et libellé en francs guinéens dépôt ou par email, conformément aux clauses et conditions du document de sollicitation. </w:t>
      </w:r>
    </w:p>
    <w:p w14:paraId="07BA8DCF" w14:textId="77777777" w:rsidR="008737CE" w:rsidRPr="00B53CA5" w:rsidRDefault="004769BF">
      <w:pPr>
        <w:spacing w:after="157"/>
        <w:ind w:left="1047" w:right="0" w:firstLine="0"/>
        <w:jc w:val="center"/>
        <w:rPr>
          <w:lang w:val="fr-FR"/>
        </w:rPr>
      </w:pPr>
      <w:r w:rsidRPr="00B53CA5">
        <w:rPr>
          <w:rFonts w:ascii="Times New Roman" w:eastAsia="Times New Roman" w:hAnsi="Times New Roman" w:cs="Times New Roman"/>
          <w:b/>
          <w:sz w:val="32"/>
          <w:lang w:val="fr-FR"/>
        </w:rPr>
        <w:t xml:space="preserve">                                      </w:t>
      </w:r>
    </w:p>
    <w:p w14:paraId="1ADEEA56" w14:textId="77777777" w:rsidR="008737CE" w:rsidRPr="00B53CA5" w:rsidRDefault="004769BF">
      <w:pPr>
        <w:spacing w:after="157"/>
        <w:ind w:left="4249" w:right="0" w:firstLine="0"/>
        <w:jc w:val="left"/>
        <w:rPr>
          <w:lang w:val="fr-FR"/>
        </w:rPr>
      </w:pPr>
      <w:r w:rsidRPr="00B53CA5">
        <w:rPr>
          <w:rFonts w:ascii="Times New Roman" w:eastAsia="Times New Roman" w:hAnsi="Times New Roman" w:cs="Times New Roman"/>
          <w:b/>
          <w:sz w:val="32"/>
          <w:lang w:val="fr-FR"/>
        </w:rPr>
        <w:t xml:space="preserve"> </w:t>
      </w:r>
    </w:p>
    <w:p w14:paraId="74D09831" w14:textId="77777777" w:rsidR="008737CE" w:rsidRPr="00B53CA5" w:rsidRDefault="004769BF">
      <w:pPr>
        <w:spacing w:after="160"/>
        <w:ind w:left="4249" w:right="0" w:firstLine="0"/>
        <w:jc w:val="left"/>
        <w:rPr>
          <w:lang w:val="fr-FR"/>
        </w:rPr>
      </w:pPr>
      <w:r w:rsidRPr="00B53CA5">
        <w:rPr>
          <w:rFonts w:ascii="Times New Roman" w:eastAsia="Times New Roman" w:hAnsi="Times New Roman" w:cs="Times New Roman"/>
          <w:b/>
          <w:sz w:val="32"/>
          <w:lang w:val="fr-FR"/>
        </w:rPr>
        <w:t xml:space="preserve"> </w:t>
      </w:r>
    </w:p>
    <w:p w14:paraId="016B7D6D" w14:textId="77777777" w:rsidR="008737CE" w:rsidRPr="00B53CA5" w:rsidRDefault="004769BF">
      <w:pPr>
        <w:spacing w:after="157"/>
        <w:ind w:left="4249" w:right="0" w:firstLine="0"/>
        <w:jc w:val="left"/>
        <w:rPr>
          <w:lang w:val="fr-FR"/>
        </w:rPr>
      </w:pPr>
      <w:r w:rsidRPr="00B53CA5">
        <w:rPr>
          <w:rFonts w:ascii="Times New Roman" w:eastAsia="Times New Roman" w:hAnsi="Times New Roman" w:cs="Times New Roman"/>
          <w:b/>
          <w:sz w:val="32"/>
          <w:lang w:val="fr-FR"/>
        </w:rPr>
        <w:t xml:space="preserve"> </w:t>
      </w:r>
    </w:p>
    <w:p w14:paraId="13B76830" w14:textId="77777777" w:rsidR="008737CE" w:rsidRPr="00B53CA5" w:rsidRDefault="004769BF">
      <w:pPr>
        <w:spacing w:after="157"/>
        <w:ind w:left="0" w:right="1337" w:firstLine="0"/>
        <w:jc w:val="right"/>
        <w:rPr>
          <w:lang w:val="fr-FR"/>
        </w:rPr>
      </w:pPr>
      <w:r w:rsidRPr="00B53CA5">
        <w:rPr>
          <w:rFonts w:ascii="Times New Roman" w:eastAsia="Times New Roman" w:hAnsi="Times New Roman" w:cs="Times New Roman"/>
          <w:b/>
          <w:sz w:val="32"/>
          <w:lang w:val="fr-FR"/>
        </w:rPr>
        <w:t xml:space="preserve"> </w:t>
      </w:r>
    </w:p>
    <w:p w14:paraId="7E24A5A5" w14:textId="77777777" w:rsidR="008737CE" w:rsidRPr="00B53CA5" w:rsidRDefault="004769BF">
      <w:pPr>
        <w:spacing w:after="157"/>
        <w:ind w:left="0" w:right="1337" w:firstLine="0"/>
        <w:jc w:val="right"/>
        <w:rPr>
          <w:lang w:val="fr-FR"/>
        </w:rPr>
      </w:pPr>
      <w:r w:rsidRPr="00B53CA5">
        <w:rPr>
          <w:rFonts w:ascii="Times New Roman" w:eastAsia="Times New Roman" w:hAnsi="Times New Roman" w:cs="Times New Roman"/>
          <w:b/>
          <w:sz w:val="32"/>
          <w:lang w:val="fr-FR"/>
        </w:rPr>
        <w:t xml:space="preserve"> </w:t>
      </w:r>
    </w:p>
    <w:p w14:paraId="5EF396B9" w14:textId="77777777" w:rsidR="008737CE" w:rsidRPr="00B53CA5" w:rsidRDefault="004769BF">
      <w:pPr>
        <w:spacing w:after="64"/>
        <w:ind w:left="0" w:right="-21" w:firstLine="0"/>
        <w:jc w:val="right"/>
        <w:rPr>
          <w:lang w:val="fr-FR"/>
        </w:rPr>
      </w:pPr>
      <w:r w:rsidRPr="00B53CA5">
        <w:rPr>
          <w:rFonts w:ascii="Times New Roman" w:eastAsia="Times New Roman" w:hAnsi="Times New Roman" w:cs="Times New Roman"/>
          <w:b/>
          <w:sz w:val="32"/>
          <w:lang w:val="fr-FR"/>
        </w:rPr>
        <w:t xml:space="preserve">                  </w:t>
      </w:r>
    </w:p>
    <w:p w14:paraId="41EA2F78" w14:textId="77777777" w:rsidR="008737CE" w:rsidRPr="00B53CA5" w:rsidRDefault="004769BF">
      <w:pPr>
        <w:spacing w:after="0"/>
        <w:ind w:left="720" w:right="0" w:firstLine="0"/>
        <w:jc w:val="left"/>
        <w:rPr>
          <w:lang w:val="fr-FR"/>
        </w:rPr>
      </w:pPr>
      <w:r w:rsidRPr="00B53CA5">
        <w:rPr>
          <w:rFonts w:ascii="Times New Roman" w:eastAsia="Times New Roman" w:hAnsi="Times New Roman" w:cs="Times New Roman"/>
          <w:b/>
          <w:lang w:val="fr-FR"/>
        </w:rPr>
        <w:t xml:space="preserve"> </w:t>
      </w:r>
    </w:p>
    <w:p w14:paraId="502BD686" w14:textId="77777777" w:rsidR="008737CE" w:rsidRPr="00B53CA5" w:rsidRDefault="004769BF">
      <w:pPr>
        <w:spacing w:after="0"/>
        <w:ind w:left="0" w:right="0" w:firstLine="0"/>
        <w:jc w:val="left"/>
        <w:rPr>
          <w:lang w:val="fr-FR"/>
        </w:rPr>
      </w:pPr>
      <w:r w:rsidRPr="00B53CA5">
        <w:rPr>
          <w:rFonts w:ascii="Times New Roman" w:eastAsia="Times New Roman" w:hAnsi="Times New Roman" w:cs="Times New Roman"/>
          <w:sz w:val="24"/>
          <w:lang w:val="fr-FR"/>
        </w:rPr>
        <w:t xml:space="preserve"> </w:t>
      </w:r>
    </w:p>
    <w:p w14:paraId="3CD1BAE8" w14:textId="77777777" w:rsidR="008737CE" w:rsidRPr="00B53CA5" w:rsidRDefault="004769BF">
      <w:pPr>
        <w:spacing w:after="0"/>
        <w:ind w:left="0" w:right="0" w:firstLine="0"/>
        <w:jc w:val="left"/>
        <w:rPr>
          <w:lang w:val="fr-FR"/>
        </w:rPr>
      </w:pPr>
      <w:r w:rsidRPr="00B53CA5">
        <w:rPr>
          <w:rFonts w:ascii="Times New Roman" w:eastAsia="Times New Roman" w:hAnsi="Times New Roman" w:cs="Times New Roman"/>
          <w:lang w:val="fr-FR"/>
        </w:rPr>
        <w:t xml:space="preserve"> </w:t>
      </w:r>
    </w:p>
    <w:sectPr w:rsidR="008737CE" w:rsidRPr="00B53CA5">
      <w:footnotePr>
        <w:numRestart w:val="eachPage"/>
      </w:footnotePr>
      <w:pgSz w:w="11906" w:h="16838"/>
      <w:pgMar w:top="1084" w:right="0" w:bottom="1417"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649F" w14:textId="77777777" w:rsidR="00431961" w:rsidRDefault="00431961">
      <w:pPr>
        <w:spacing w:after="0" w:line="240" w:lineRule="auto"/>
      </w:pPr>
      <w:r>
        <w:separator/>
      </w:r>
    </w:p>
  </w:endnote>
  <w:endnote w:type="continuationSeparator" w:id="0">
    <w:p w14:paraId="51F043DB" w14:textId="77777777" w:rsidR="00431961" w:rsidRDefault="0043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9D68" w14:textId="77777777" w:rsidR="00431961" w:rsidRDefault="00431961">
      <w:pPr>
        <w:spacing w:after="0"/>
        <w:ind w:left="0" w:right="0" w:firstLine="0"/>
      </w:pPr>
      <w:r>
        <w:separator/>
      </w:r>
    </w:p>
  </w:footnote>
  <w:footnote w:type="continuationSeparator" w:id="0">
    <w:p w14:paraId="5E14C540" w14:textId="77777777" w:rsidR="00431961" w:rsidRDefault="00431961">
      <w:pPr>
        <w:spacing w:after="0"/>
        <w:ind w:left="0" w:righ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327"/>
    <w:multiLevelType w:val="hybridMultilevel"/>
    <w:tmpl w:val="0186AEFC"/>
    <w:lvl w:ilvl="0" w:tplc="6D667698">
      <w:start w:val="1"/>
      <w:numFmt w:val="bullet"/>
      <w:lvlText w:val="▪"/>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1A3CC4">
      <w:start w:val="1"/>
      <w:numFmt w:val="bullet"/>
      <w:lvlText w:val="o"/>
      <w:lvlJc w:val="left"/>
      <w:pPr>
        <w:ind w:left="1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607CAE">
      <w:start w:val="1"/>
      <w:numFmt w:val="bullet"/>
      <w:lvlText w:val="▪"/>
      <w:lvlJc w:val="left"/>
      <w:pPr>
        <w:ind w:left="2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D04BD0">
      <w:start w:val="1"/>
      <w:numFmt w:val="bullet"/>
      <w:lvlText w:val="•"/>
      <w:lvlJc w:val="left"/>
      <w:pPr>
        <w:ind w:left="2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2DC884A">
      <w:start w:val="1"/>
      <w:numFmt w:val="bullet"/>
      <w:lvlText w:val="o"/>
      <w:lvlJc w:val="left"/>
      <w:pPr>
        <w:ind w:left="3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B6D4A4">
      <w:start w:val="1"/>
      <w:numFmt w:val="bullet"/>
      <w:lvlText w:val="▪"/>
      <w:lvlJc w:val="left"/>
      <w:pPr>
        <w:ind w:left="4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1EFF8E">
      <w:start w:val="1"/>
      <w:numFmt w:val="bullet"/>
      <w:lvlText w:val="•"/>
      <w:lvlJc w:val="left"/>
      <w:pPr>
        <w:ind w:left="4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82C628">
      <w:start w:val="1"/>
      <w:numFmt w:val="bullet"/>
      <w:lvlText w:val="o"/>
      <w:lvlJc w:val="left"/>
      <w:pPr>
        <w:ind w:left="56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CE840E">
      <w:start w:val="1"/>
      <w:numFmt w:val="bullet"/>
      <w:lvlText w:val="▪"/>
      <w:lvlJc w:val="left"/>
      <w:pPr>
        <w:ind w:left="64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3D4C22"/>
    <w:multiLevelType w:val="hybridMultilevel"/>
    <w:tmpl w:val="79FE9758"/>
    <w:lvl w:ilvl="0" w:tplc="7E4C9E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76D0"/>
    <w:multiLevelType w:val="hybridMultilevel"/>
    <w:tmpl w:val="AC84B27A"/>
    <w:lvl w:ilvl="0" w:tplc="8220AB7A">
      <w:start w:val="1"/>
      <w:numFmt w:val="bullet"/>
      <w:lvlText w:val="-"/>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4CA0DC">
      <w:start w:val="1"/>
      <w:numFmt w:val="bullet"/>
      <w:lvlText w:val="o"/>
      <w:lvlJc w:val="left"/>
      <w:pPr>
        <w:ind w:left="1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44C31C">
      <w:start w:val="1"/>
      <w:numFmt w:val="bullet"/>
      <w:lvlText w:val="▪"/>
      <w:lvlJc w:val="left"/>
      <w:pPr>
        <w:ind w:left="2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CB207B0">
      <w:start w:val="1"/>
      <w:numFmt w:val="bullet"/>
      <w:lvlText w:val="•"/>
      <w:lvlJc w:val="left"/>
      <w:pPr>
        <w:ind w:left="2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9643306">
      <w:start w:val="1"/>
      <w:numFmt w:val="bullet"/>
      <w:lvlText w:val="o"/>
      <w:lvlJc w:val="left"/>
      <w:pPr>
        <w:ind w:left="3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34BA6A">
      <w:start w:val="1"/>
      <w:numFmt w:val="bullet"/>
      <w:lvlText w:val="▪"/>
      <w:lvlJc w:val="left"/>
      <w:pPr>
        <w:ind w:left="4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3A8C16">
      <w:start w:val="1"/>
      <w:numFmt w:val="bullet"/>
      <w:lvlText w:val="•"/>
      <w:lvlJc w:val="left"/>
      <w:pPr>
        <w:ind w:left="5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778FD70">
      <w:start w:val="1"/>
      <w:numFmt w:val="bullet"/>
      <w:lvlText w:val="o"/>
      <w:lvlJc w:val="left"/>
      <w:pPr>
        <w:ind w:left="5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3E2B5FE">
      <w:start w:val="1"/>
      <w:numFmt w:val="bullet"/>
      <w:lvlText w:val="▪"/>
      <w:lvlJc w:val="left"/>
      <w:pPr>
        <w:ind w:left="6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CF6C40"/>
    <w:multiLevelType w:val="hybridMultilevel"/>
    <w:tmpl w:val="65C831BA"/>
    <w:lvl w:ilvl="0" w:tplc="00C25F12">
      <w:start w:val="1"/>
      <w:numFmt w:val="decimal"/>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85CA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E055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760DD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5AC53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3E1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8BA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DED06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288D1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946E70"/>
    <w:multiLevelType w:val="hybridMultilevel"/>
    <w:tmpl w:val="1E98F46E"/>
    <w:lvl w:ilvl="0" w:tplc="B48C0C74">
      <w:start w:val="1"/>
      <w:numFmt w:val="bullet"/>
      <w:lvlText w:val="-"/>
      <w:lvlJc w:val="left"/>
      <w:pPr>
        <w:ind w:left="11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18BC94">
      <w:start w:val="1"/>
      <w:numFmt w:val="bullet"/>
      <w:lvlText w:val="o"/>
      <w:lvlJc w:val="left"/>
      <w:pPr>
        <w:ind w:left="20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4888860">
      <w:start w:val="1"/>
      <w:numFmt w:val="bullet"/>
      <w:lvlText w:val="▪"/>
      <w:lvlJc w:val="left"/>
      <w:pPr>
        <w:ind w:left="27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9A26CA">
      <w:start w:val="1"/>
      <w:numFmt w:val="bullet"/>
      <w:lvlText w:val="•"/>
      <w:lvlJc w:val="left"/>
      <w:pPr>
        <w:ind w:left="35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DE87B8">
      <w:start w:val="1"/>
      <w:numFmt w:val="bullet"/>
      <w:lvlText w:val="o"/>
      <w:lvlJc w:val="left"/>
      <w:pPr>
        <w:ind w:left="4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3726008">
      <w:start w:val="1"/>
      <w:numFmt w:val="bullet"/>
      <w:lvlText w:val="▪"/>
      <w:lvlJc w:val="left"/>
      <w:pPr>
        <w:ind w:left="4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A06052">
      <w:start w:val="1"/>
      <w:numFmt w:val="bullet"/>
      <w:lvlText w:val="•"/>
      <w:lvlJc w:val="left"/>
      <w:pPr>
        <w:ind w:left="5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3F8502C">
      <w:start w:val="1"/>
      <w:numFmt w:val="bullet"/>
      <w:lvlText w:val="o"/>
      <w:lvlJc w:val="left"/>
      <w:pPr>
        <w:ind w:left="6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C084F4">
      <w:start w:val="1"/>
      <w:numFmt w:val="bullet"/>
      <w:lvlText w:val="▪"/>
      <w:lvlJc w:val="left"/>
      <w:pPr>
        <w:ind w:left="7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7C32AB"/>
    <w:multiLevelType w:val="hybridMultilevel"/>
    <w:tmpl w:val="F0CC4534"/>
    <w:lvl w:ilvl="0" w:tplc="5790A7B6">
      <w:start w:val="1"/>
      <w:numFmt w:val="bullet"/>
      <w:lvlText w:val="-"/>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24D330">
      <w:start w:val="1"/>
      <w:numFmt w:val="bullet"/>
      <w:lvlText w:val="o"/>
      <w:lvlJc w:val="left"/>
      <w:pPr>
        <w:ind w:left="15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F6A7F6">
      <w:start w:val="1"/>
      <w:numFmt w:val="bullet"/>
      <w:lvlText w:val="▪"/>
      <w:lvlJc w:val="left"/>
      <w:pPr>
        <w:ind w:left="2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FC641E">
      <w:start w:val="1"/>
      <w:numFmt w:val="bullet"/>
      <w:lvlText w:val="•"/>
      <w:lvlJc w:val="left"/>
      <w:pPr>
        <w:ind w:left="29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749728">
      <w:start w:val="1"/>
      <w:numFmt w:val="bullet"/>
      <w:lvlText w:val="o"/>
      <w:lvlJc w:val="left"/>
      <w:pPr>
        <w:ind w:left="3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1606FC">
      <w:start w:val="1"/>
      <w:numFmt w:val="bullet"/>
      <w:lvlText w:val="▪"/>
      <w:lvlJc w:val="left"/>
      <w:pPr>
        <w:ind w:left="44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E87D5E">
      <w:start w:val="1"/>
      <w:numFmt w:val="bullet"/>
      <w:lvlText w:val="•"/>
      <w:lvlJc w:val="left"/>
      <w:pPr>
        <w:ind w:left="51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3EC5A60">
      <w:start w:val="1"/>
      <w:numFmt w:val="bullet"/>
      <w:lvlText w:val="o"/>
      <w:lvlJc w:val="left"/>
      <w:pPr>
        <w:ind w:left="58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5F6A324">
      <w:start w:val="1"/>
      <w:numFmt w:val="bullet"/>
      <w:lvlText w:val="▪"/>
      <w:lvlJc w:val="left"/>
      <w:pPr>
        <w:ind w:left="65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273E3D"/>
    <w:multiLevelType w:val="hybridMultilevel"/>
    <w:tmpl w:val="6598CF7A"/>
    <w:lvl w:ilvl="0" w:tplc="EA36CDCA">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4D64A2"/>
    <w:multiLevelType w:val="hybridMultilevel"/>
    <w:tmpl w:val="AE126DA6"/>
    <w:lvl w:ilvl="0" w:tplc="F7C27F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81D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36BAD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9476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A6A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6E8C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CD9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8E5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B4BA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CE"/>
    <w:rsid w:val="00052EFE"/>
    <w:rsid w:val="000A1479"/>
    <w:rsid w:val="0012503A"/>
    <w:rsid w:val="0013019F"/>
    <w:rsid w:val="001663DD"/>
    <w:rsid w:val="001814EE"/>
    <w:rsid w:val="001E44F4"/>
    <w:rsid w:val="00242021"/>
    <w:rsid w:val="002862D7"/>
    <w:rsid w:val="002E2DBD"/>
    <w:rsid w:val="00334D00"/>
    <w:rsid w:val="00362A76"/>
    <w:rsid w:val="003B4177"/>
    <w:rsid w:val="003C0955"/>
    <w:rsid w:val="0040065A"/>
    <w:rsid w:val="00431961"/>
    <w:rsid w:val="004769BF"/>
    <w:rsid w:val="00517CB2"/>
    <w:rsid w:val="00595007"/>
    <w:rsid w:val="005B58AE"/>
    <w:rsid w:val="006934AD"/>
    <w:rsid w:val="007B0886"/>
    <w:rsid w:val="007E0A51"/>
    <w:rsid w:val="00822EFE"/>
    <w:rsid w:val="008326A7"/>
    <w:rsid w:val="00842A37"/>
    <w:rsid w:val="008737CE"/>
    <w:rsid w:val="00A026F1"/>
    <w:rsid w:val="00A17850"/>
    <w:rsid w:val="00AF40C7"/>
    <w:rsid w:val="00AF4578"/>
    <w:rsid w:val="00AF67F1"/>
    <w:rsid w:val="00B04CC5"/>
    <w:rsid w:val="00B53CA5"/>
    <w:rsid w:val="00BC3B7B"/>
    <w:rsid w:val="00C27397"/>
    <w:rsid w:val="00C61A60"/>
    <w:rsid w:val="00C6259E"/>
    <w:rsid w:val="00CC14CB"/>
    <w:rsid w:val="00CF5C32"/>
    <w:rsid w:val="00D54CFA"/>
    <w:rsid w:val="00D71812"/>
    <w:rsid w:val="00D741ED"/>
    <w:rsid w:val="00D82FA8"/>
    <w:rsid w:val="00DB6348"/>
    <w:rsid w:val="00E24A4E"/>
    <w:rsid w:val="00E84F75"/>
    <w:rsid w:val="00E94A0E"/>
    <w:rsid w:val="00ED72EC"/>
    <w:rsid w:val="00F303B3"/>
    <w:rsid w:val="00FA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4493"/>
  <w15:docId w15:val="{6565DCD4-2370-4D58-BE7E-B9923AA9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right="1415"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pPr>
      <w:spacing w:after="0"/>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53CA5"/>
    <w:rPr>
      <w:sz w:val="16"/>
      <w:szCs w:val="16"/>
    </w:rPr>
  </w:style>
  <w:style w:type="paragraph" w:styleId="Commentaire">
    <w:name w:val="annotation text"/>
    <w:basedOn w:val="Normal"/>
    <w:link w:val="CommentaireCar"/>
    <w:uiPriority w:val="99"/>
    <w:semiHidden/>
    <w:unhideWhenUsed/>
    <w:rsid w:val="00B53CA5"/>
    <w:pPr>
      <w:spacing w:line="240" w:lineRule="auto"/>
    </w:pPr>
    <w:rPr>
      <w:sz w:val="20"/>
      <w:szCs w:val="20"/>
    </w:rPr>
  </w:style>
  <w:style w:type="character" w:customStyle="1" w:styleId="CommentaireCar">
    <w:name w:val="Commentaire Car"/>
    <w:basedOn w:val="Policepardfaut"/>
    <w:link w:val="Commentaire"/>
    <w:uiPriority w:val="99"/>
    <w:semiHidden/>
    <w:rsid w:val="00B53CA5"/>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3CA5"/>
    <w:rPr>
      <w:b/>
      <w:bCs/>
    </w:rPr>
  </w:style>
  <w:style w:type="character" w:customStyle="1" w:styleId="ObjetducommentaireCar">
    <w:name w:val="Objet du commentaire Car"/>
    <w:basedOn w:val="CommentaireCar"/>
    <w:link w:val="Objetducommentaire"/>
    <w:uiPriority w:val="99"/>
    <w:semiHidden/>
    <w:rsid w:val="00B53CA5"/>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3C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CA5"/>
    <w:rPr>
      <w:rFonts w:ascii="Segoe UI" w:eastAsia="Calibri" w:hAnsi="Segoe UI" w:cs="Segoe UI"/>
      <w:color w:val="000000"/>
      <w:sz w:val="18"/>
      <w:szCs w:val="18"/>
    </w:rPr>
  </w:style>
  <w:style w:type="paragraph" w:styleId="Paragraphedeliste">
    <w:name w:val="List Paragraph"/>
    <w:basedOn w:val="Normal"/>
    <w:uiPriority w:val="34"/>
    <w:qFormat/>
    <w:rsid w:val="008326A7"/>
    <w:pPr>
      <w:spacing w:after="200" w:line="276" w:lineRule="auto"/>
      <w:ind w:left="720" w:right="0" w:firstLine="0"/>
      <w:contextualSpacing/>
      <w:jc w:val="left"/>
    </w:pPr>
    <w:rPr>
      <w:rFonts w:asciiTheme="minorHAnsi" w:eastAsiaTheme="minorHAnsi" w:hAnsiTheme="minorHAnsi"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Conditions_G%E9n%E9rales_I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undp.org/hr/Conditions_G%E9n%E9rales_I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d.undp.org/hr/Conditions_G%E9n%E9rales_I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10</Pages>
  <Words>3526</Words>
  <Characters>19393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sidiki Camara</dc:creator>
  <cp:keywords/>
  <cp:lastModifiedBy>Soriba Conte</cp:lastModifiedBy>
  <cp:revision>20</cp:revision>
  <dcterms:created xsi:type="dcterms:W3CDTF">2021-08-31T12:45:00Z</dcterms:created>
  <dcterms:modified xsi:type="dcterms:W3CDTF">2022-09-16T07:01:00Z</dcterms:modified>
</cp:coreProperties>
</file>